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3B9F" w14:textId="1A53B66E" w:rsidR="00715199" w:rsidRPr="00715199" w:rsidRDefault="00715199" w:rsidP="00715199">
      <w:pPr>
        <w:pStyle w:val="Balk3"/>
        <w:spacing w:before="0" w:after="0" w:line="360" w:lineRule="auto"/>
        <w:jc w:val="both"/>
        <w:rPr>
          <w:rFonts w:ascii="Times New Roman" w:hAnsi="Times New Roman" w:cs="Times New Roman"/>
          <w:color w:val="000000" w:themeColor="text1"/>
          <w:sz w:val="22"/>
          <w:szCs w:val="22"/>
        </w:rPr>
      </w:pPr>
      <w:r w:rsidRPr="00715199">
        <w:rPr>
          <w:rStyle w:val="Gl"/>
          <w:rFonts w:ascii="Times New Roman" w:hAnsi="Times New Roman" w:cs="Times New Roman"/>
          <w:color w:val="000000" w:themeColor="text1"/>
          <w:sz w:val="22"/>
          <w:szCs w:val="22"/>
        </w:rPr>
        <w:t>Analizin Adı</w:t>
      </w:r>
      <w:r w:rsidRPr="00715199">
        <w:rPr>
          <w:rStyle w:val="Gl"/>
          <w:rFonts w:ascii="Times New Roman" w:hAnsi="Times New Roman" w:cs="Times New Roman"/>
          <w:color w:val="000000" w:themeColor="text1"/>
          <w:sz w:val="22"/>
          <w:szCs w:val="22"/>
        </w:rPr>
        <w:t>:</w:t>
      </w:r>
      <w:r w:rsidRPr="00715199">
        <w:rPr>
          <w:rStyle w:val="Gl"/>
          <w:rFonts w:ascii="Times New Roman" w:hAnsi="Times New Roman" w:cs="Times New Roman"/>
          <w:b w:val="0"/>
          <w:bCs w:val="0"/>
          <w:color w:val="000000" w:themeColor="text1"/>
          <w:sz w:val="22"/>
          <w:szCs w:val="22"/>
        </w:rPr>
        <w:t xml:space="preserve"> </w:t>
      </w:r>
      <w:r w:rsidRPr="00715199">
        <w:rPr>
          <w:rFonts w:ascii="Times New Roman" w:hAnsi="Times New Roman" w:cs="Times New Roman"/>
          <w:color w:val="000000" w:themeColor="text1"/>
          <w:sz w:val="22"/>
          <w:szCs w:val="22"/>
        </w:rPr>
        <w:t>Yapısal Eşitlik Modeli (SEM) ve Çok Gruplu Karşılaştırmalı SEM Analizi</w:t>
      </w:r>
    </w:p>
    <w:p w14:paraId="2E5BFBEC" w14:textId="218CBD58" w:rsidR="00715199" w:rsidRPr="00715199" w:rsidRDefault="00715199" w:rsidP="00715199">
      <w:pPr>
        <w:pStyle w:val="Balk3"/>
        <w:spacing w:before="0" w:after="0" w:line="360" w:lineRule="auto"/>
        <w:jc w:val="both"/>
        <w:rPr>
          <w:rFonts w:ascii="Times New Roman" w:hAnsi="Times New Roman" w:cs="Times New Roman"/>
          <w:color w:val="000000" w:themeColor="text1"/>
          <w:sz w:val="22"/>
          <w:szCs w:val="22"/>
        </w:rPr>
      </w:pPr>
      <w:r w:rsidRPr="00715199">
        <w:rPr>
          <w:rStyle w:val="Gl"/>
          <w:rFonts w:ascii="Times New Roman" w:hAnsi="Times New Roman" w:cs="Times New Roman"/>
          <w:color w:val="000000" w:themeColor="text1"/>
          <w:sz w:val="22"/>
          <w:szCs w:val="22"/>
        </w:rPr>
        <w:t>Kullanım Alanları</w:t>
      </w:r>
      <w:r w:rsidRPr="00715199">
        <w:rPr>
          <w:rStyle w:val="Gl"/>
          <w:rFonts w:ascii="Times New Roman" w:hAnsi="Times New Roman" w:cs="Times New Roman"/>
          <w:color w:val="000000" w:themeColor="text1"/>
          <w:sz w:val="22"/>
          <w:szCs w:val="22"/>
        </w:rPr>
        <w:t>:</w:t>
      </w:r>
      <w:r w:rsidRPr="00715199">
        <w:rPr>
          <w:rStyle w:val="Gl"/>
          <w:rFonts w:ascii="Times New Roman" w:hAnsi="Times New Roman" w:cs="Times New Roman"/>
          <w:b w:val="0"/>
          <w:bCs w:val="0"/>
          <w:color w:val="000000" w:themeColor="text1"/>
          <w:sz w:val="22"/>
          <w:szCs w:val="22"/>
        </w:rPr>
        <w:t xml:space="preserve"> </w:t>
      </w:r>
      <w:r w:rsidRPr="00715199">
        <w:rPr>
          <w:rFonts w:ascii="Times New Roman" w:hAnsi="Times New Roman" w:cs="Times New Roman"/>
          <w:color w:val="000000" w:themeColor="text1"/>
          <w:sz w:val="22"/>
          <w:szCs w:val="22"/>
        </w:rPr>
        <w:t>Yapısal eşitlik modeli (SEM), birden fazla değişken arasındaki karmaşık ilişkilerin aynı anda test edilmesinde kullanılmaktadır. Özellikle doğrudan, dolaylı (aracı) ve düzenleyici etkilerin birlikte incelendiği çalışmalarda; psikoloji, işletme, eğitim ve sosyal bilimlerde yaygın olarak tercih edilmektedir. Çok gruplu SEM analizi ise farklı örneklemler veya kültürler arasında modelin karşılaştırılmasına olanak tanımaktadır.</w:t>
      </w:r>
    </w:p>
    <w:p w14:paraId="5A9060EB" w14:textId="12556F06" w:rsidR="00715199" w:rsidRPr="00715199" w:rsidRDefault="00715199" w:rsidP="00715199">
      <w:pPr>
        <w:pStyle w:val="Balk3"/>
        <w:spacing w:before="0" w:after="0" w:line="360" w:lineRule="auto"/>
        <w:jc w:val="both"/>
        <w:rPr>
          <w:rFonts w:ascii="Times New Roman" w:hAnsi="Times New Roman" w:cs="Times New Roman"/>
          <w:color w:val="000000" w:themeColor="text1"/>
          <w:sz w:val="22"/>
          <w:szCs w:val="22"/>
        </w:rPr>
      </w:pPr>
      <w:r w:rsidRPr="00715199">
        <w:rPr>
          <w:rStyle w:val="Gl"/>
          <w:rFonts w:ascii="Times New Roman" w:hAnsi="Times New Roman" w:cs="Times New Roman"/>
          <w:color w:val="000000" w:themeColor="text1"/>
          <w:sz w:val="22"/>
          <w:szCs w:val="22"/>
        </w:rPr>
        <w:t>Amacı</w:t>
      </w:r>
      <w:r w:rsidRPr="00715199">
        <w:rPr>
          <w:rStyle w:val="Gl"/>
          <w:rFonts w:ascii="Times New Roman" w:hAnsi="Times New Roman" w:cs="Times New Roman"/>
          <w:color w:val="000000" w:themeColor="text1"/>
          <w:sz w:val="22"/>
          <w:szCs w:val="22"/>
        </w:rPr>
        <w:t>:</w:t>
      </w:r>
      <w:r w:rsidRPr="00715199">
        <w:rPr>
          <w:rStyle w:val="Gl"/>
          <w:rFonts w:ascii="Times New Roman" w:hAnsi="Times New Roman" w:cs="Times New Roman"/>
          <w:b w:val="0"/>
          <w:bCs w:val="0"/>
          <w:color w:val="000000" w:themeColor="text1"/>
          <w:sz w:val="22"/>
          <w:szCs w:val="22"/>
        </w:rPr>
        <w:t xml:space="preserve"> </w:t>
      </w:r>
      <w:r w:rsidRPr="00715199">
        <w:rPr>
          <w:rFonts w:ascii="Times New Roman" w:hAnsi="Times New Roman" w:cs="Times New Roman"/>
          <w:color w:val="000000" w:themeColor="text1"/>
          <w:sz w:val="22"/>
          <w:szCs w:val="22"/>
        </w:rPr>
        <w:t>Bu analiz, değişkenler arasındaki ilişkileri bütüncül bir model çerçevesinde test etmeyi ve kuramsal modelin veri ile ne ölçüde uyumlu olduğunu belirlemeyi amaçlamaktadır. Ayrıca farklı gruplar arasında modelin geçerliliğini ve yapısal farklılıkları incelemek hedeflenmektedir.</w:t>
      </w:r>
    </w:p>
    <w:p w14:paraId="0FDDDCDD" w14:textId="4F2079BF" w:rsidR="00715199" w:rsidRPr="00715199" w:rsidRDefault="00715199" w:rsidP="00715199">
      <w:pPr>
        <w:pStyle w:val="Balk3"/>
        <w:spacing w:before="0" w:after="0" w:line="360" w:lineRule="auto"/>
        <w:jc w:val="both"/>
        <w:rPr>
          <w:rFonts w:ascii="Times New Roman" w:hAnsi="Times New Roman" w:cs="Times New Roman"/>
          <w:color w:val="000000" w:themeColor="text1"/>
          <w:sz w:val="22"/>
          <w:szCs w:val="22"/>
        </w:rPr>
      </w:pPr>
      <w:r w:rsidRPr="00715199">
        <w:rPr>
          <w:rStyle w:val="Gl"/>
          <w:rFonts w:ascii="Times New Roman" w:hAnsi="Times New Roman" w:cs="Times New Roman"/>
          <w:color w:val="000000" w:themeColor="text1"/>
          <w:sz w:val="22"/>
          <w:szCs w:val="22"/>
        </w:rPr>
        <w:t>Ne Anlama Geldiği</w:t>
      </w:r>
      <w:r w:rsidRPr="00715199">
        <w:rPr>
          <w:rStyle w:val="Gl"/>
          <w:rFonts w:ascii="Times New Roman" w:hAnsi="Times New Roman" w:cs="Times New Roman"/>
          <w:color w:val="000000" w:themeColor="text1"/>
          <w:sz w:val="22"/>
          <w:szCs w:val="22"/>
        </w:rPr>
        <w:t>:</w:t>
      </w:r>
      <w:r w:rsidRPr="00715199">
        <w:rPr>
          <w:rStyle w:val="Gl"/>
          <w:rFonts w:ascii="Times New Roman" w:hAnsi="Times New Roman" w:cs="Times New Roman"/>
          <w:b w:val="0"/>
          <w:bCs w:val="0"/>
          <w:color w:val="000000" w:themeColor="text1"/>
          <w:sz w:val="22"/>
          <w:szCs w:val="22"/>
        </w:rPr>
        <w:t xml:space="preserve"> </w:t>
      </w:r>
      <w:r w:rsidRPr="00715199">
        <w:rPr>
          <w:rFonts w:ascii="Times New Roman" w:hAnsi="Times New Roman" w:cs="Times New Roman"/>
          <w:color w:val="000000" w:themeColor="text1"/>
          <w:sz w:val="22"/>
          <w:szCs w:val="22"/>
        </w:rPr>
        <w:t xml:space="preserve">SEM analizinde modelin uygunluğu çeşitli </w:t>
      </w:r>
      <w:r w:rsidRPr="00715199">
        <w:rPr>
          <w:rStyle w:val="Gl"/>
          <w:rFonts w:ascii="Times New Roman" w:hAnsi="Times New Roman" w:cs="Times New Roman"/>
          <w:color w:val="000000" w:themeColor="text1"/>
          <w:sz w:val="22"/>
          <w:szCs w:val="22"/>
        </w:rPr>
        <w:t>uyum iyiliği indeksleri</w:t>
      </w:r>
      <w:r w:rsidRPr="00715199">
        <w:rPr>
          <w:rFonts w:ascii="Times New Roman" w:hAnsi="Times New Roman" w:cs="Times New Roman"/>
          <w:color w:val="000000" w:themeColor="text1"/>
          <w:sz w:val="22"/>
          <w:szCs w:val="22"/>
        </w:rPr>
        <w:t xml:space="preserve"> ile değerlendirilmektedir.</w:t>
      </w:r>
    </w:p>
    <w:p w14:paraId="4D6EBE5C" w14:textId="77777777" w:rsidR="00715199" w:rsidRPr="00715199" w:rsidRDefault="00715199" w:rsidP="00715199">
      <w:pPr>
        <w:numPr>
          <w:ilvl w:val="0"/>
          <w:numId w:val="1"/>
        </w:numPr>
        <w:spacing w:after="0" w:line="360" w:lineRule="auto"/>
        <w:rPr>
          <w:color w:val="000000" w:themeColor="text1"/>
          <w:sz w:val="22"/>
          <w:szCs w:val="22"/>
        </w:rPr>
      </w:pPr>
      <w:r w:rsidRPr="00715199">
        <w:rPr>
          <w:rStyle w:val="Gl"/>
          <w:color w:val="000000" w:themeColor="text1"/>
          <w:sz w:val="22"/>
          <w:szCs w:val="22"/>
        </w:rPr>
        <w:t>CFI ve TLI</w:t>
      </w:r>
      <w:r w:rsidRPr="00715199">
        <w:rPr>
          <w:color w:val="000000" w:themeColor="text1"/>
          <w:sz w:val="22"/>
          <w:szCs w:val="22"/>
        </w:rPr>
        <w:t xml:space="preserve"> değerlerinin 0.90 ve üzeri olması, </w:t>
      </w:r>
    </w:p>
    <w:p w14:paraId="2C89B27B" w14:textId="77777777" w:rsidR="00715199" w:rsidRPr="00715199" w:rsidRDefault="00715199" w:rsidP="00715199">
      <w:pPr>
        <w:numPr>
          <w:ilvl w:val="0"/>
          <w:numId w:val="1"/>
        </w:numPr>
        <w:spacing w:after="0" w:line="360" w:lineRule="auto"/>
        <w:rPr>
          <w:color w:val="000000" w:themeColor="text1"/>
          <w:sz w:val="22"/>
          <w:szCs w:val="22"/>
        </w:rPr>
      </w:pPr>
      <w:r w:rsidRPr="00715199">
        <w:rPr>
          <w:rStyle w:val="Gl"/>
          <w:color w:val="000000" w:themeColor="text1"/>
          <w:sz w:val="22"/>
          <w:szCs w:val="22"/>
        </w:rPr>
        <w:t>RMSEA</w:t>
      </w:r>
      <w:r w:rsidRPr="00715199">
        <w:rPr>
          <w:color w:val="000000" w:themeColor="text1"/>
          <w:sz w:val="22"/>
          <w:szCs w:val="22"/>
        </w:rPr>
        <w:t xml:space="preserve"> değerinin 0.08’in altında olması, </w:t>
      </w:r>
    </w:p>
    <w:p w14:paraId="3990D11B" w14:textId="77777777" w:rsidR="00715199" w:rsidRPr="00715199" w:rsidRDefault="00715199" w:rsidP="00715199">
      <w:pPr>
        <w:numPr>
          <w:ilvl w:val="0"/>
          <w:numId w:val="1"/>
        </w:numPr>
        <w:spacing w:after="0" w:line="360" w:lineRule="auto"/>
        <w:rPr>
          <w:color w:val="000000" w:themeColor="text1"/>
          <w:sz w:val="22"/>
          <w:szCs w:val="22"/>
        </w:rPr>
      </w:pPr>
      <w:r w:rsidRPr="00715199">
        <w:rPr>
          <w:rStyle w:val="Gl"/>
          <w:color w:val="000000" w:themeColor="text1"/>
          <w:sz w:val="22"/>
          <w:szCs w:val="22"/>
        </w:rPr>
        <w:t>χ²/df</w:t>
      </w:r>
      <w:r w:rsidRPr="00715199">
        <w:rPr>
          <w:color w:val="000000" w:themeColor="text1"/>
          <w:sz w:val="22"/>
          <w:szCs w:val="22"/>
        </w:rPr>
        <w:t xml:space="preserve"> oranının 3’ün altında olması genellikle kabul edilebilir uyuma işaret etmektedir. </w:t>
      </w:r>
    </w:p>
    <w:p w14:paraId="03B2CA09" w14:textId="77777777" w:rsidR="00715199" w:rsidRPr="00715199" w:rsidRDefault="00715199" w:rsidP="00715199">
      <w:pPr>
        <w:pStyle w:val="NormalWeb"/>
        <w:spacing w:before="0" w:beforeAutospacing="0" w:after="0" w:afterAutospacing="0" w:line="360" w:lineRule="auto"/>
        <w:jc w:val="both"/>
        <w:rPr>
          <w:color w:val="000000" w:themeColor="text1"/>
          <w:sz w:val="22"/>
          <w:szCs w:val="22"/>
        </w:rPr>
      </w:pPr>
      <w:r w:rsidRPr="00715199">
        <w:rPr>
          <w:color w:val="000000" w:themeColor="text1"/>
          <w:sz w:val="22"/>
          <w:szCs w:val="22"/>
        </w:rPr>
        <w:t xml:space="preserve">Ölçüm modeli kapsamında yapılan </w:t>
      </w:r>
      <w:r w:rsidRPr="00715199">
        <w:rPr>
          <w:rStyle w:val="Gl"/>
          <w:color w:val="000000" w:themeColor="text1"/>
          <w:sz w:val="22"/>
          <w:szCs w:val="22"/>
        </w:rPr>
        <w:t>doğrulayıcı faktör analizi (CFA)</w:t>
      </w:r>
      <w:r w:rsidRPr="00715199">
        <w:rPr>
          <w:color w:val="000000" w:themeColor="text1"/>
          <w:sz w:val="22"/>
          <w:szCs w:val="22"/>
        </w:rPr>
        <w:t xml:space="preserve">, ölçeklerin geçerliliğini test etmektedir. Çok gruplu analizlerde ise </w:t>
      </w:r>
      <w:r w:rsidRPr="00715199">
        <w:rPr>
          <w:rStyle w:val="Gl"/>
          <w:color w:val="000000" w:themeColor="text1"/>
          <w:sz w:val="22"/>
          <w:szCs w:val="22"/>
        </w:rPr>
        <w:t>ölçüm değişmezliği (measurement invariance)</w:t>
      </w:r>
      <w:r w:rsidRPr="00715199">
        <w:rPr>
          <w:color w:val="000000" w:themeColor="text1"/>
          <w:sz w:val="22"/>
          <w:szCs w:val="22"/>
        </w:rPr>
        <w:t xml:space="preserve"> test edilmekte ve modelin farklı gruplarda aynı yapıyı ölçüp ölçmediği değerlendirilmektedir.</w:t>
      </w:r>
    </w:p>
    <w:p w14:paraId="7CFD6AD8" w14:textId="77777777" w:rsidR="00715199" w:rsidRPr="00715199" w:rsidRDefault="00715199" w:rsidP="00715199">
      <w:pPr>
        <w:pStyle w:val="NormalWeb"/>
        <w:spacing w:before="0" w:beforeAutospacing="0" w:after="0" w:afterAutospacing="0" w:line="360" w:lineRule="auto"/>
        <w:jc w:val="both"/>
        <w:rPr>
          <w:color w:val="000000" w:themeColor="text1"/>
          <w:sz w:val="22"/>
          <w:szCs w:val="22"/>
        </w:rPr>
      </w:pPr>
      <w:r w:rsidRPr="00715199">
        <w:rPr>
          <w:color w:val="000000" w:themeColor="text1"/>
          <w:sz w:val="22"/>
          <w:szCs w:val="22"/>
        </w:rPr>
        <w:t>Yapısal modelde yer alan yol katsayıları, değişkenler arasındaki doğrudan ve dolaylı ilişkilerin yönünü ve gücünü göstermektedir. Çok gruplu SEM analizinde ise bu ilişkilerin farklı örneklemler arasında anlamlı biçimde farklılaşıp farklılaşmadığı incelenmektedir.</w:t>
      </w:r>
    </w:p>
    <w:p w14:paraId="20F8EDC9" w14:textId="77777777" w:rsidR="00715199" w:rsidRPr="00715199" w:rsidRDefault="00715199" w:rsidP="00715199">
      <w:pPr>
        <w:pStyle w:val="NormalWeb"/>
        <w:spacing w:before="0" w:beforeAutospacing="0" w:after="0" w:afterAutospacing="0" w:line="360" w:lineRule="auto"/>
        <w:jc w:val="both"/>
        <w:rPr>
          <w:color w:val="000000" w:themeColor="text1"/>
          <w:sz w:val="22"/>
          <w:szCs w:val="22"/>
        </w:rPr>
      </w:pPr>
      <w:r w:rsidRPr="00715199">
        <w:rPr>
          <w:color w:val="000000" w:themeColor="text1"/>
          <w:sz w:val="22"/>
          <w:szCs w:val="22"/>
        </w:rPr>
        <w:t>Bu analiz sayesinde karmaşık ilişkiler bütüncül bir çerçevede test edilmekte ve kuramsal modelin geçerliliği bilimsel olarak ortaya konulmaktadır.</w:t>
      </w:r>
    </w:p>
    <w:p w14:paraId="0E813D3E" w14:textId="515D1A8F" w:rsidR="00715199" w:rsidRPr="00715199" w:rsidRDefault="00715199" w:rsidP="00715199">
      <w:pPr>
        <w:spacing w:after="0" w:line="360" w:lineRule="auto"/>
        <w:rPr>
          <w:b/>
          <w:bCs/>
          <w:sz w:val="22"/>
          <w:szCs w:val="22"/>
          <w:lang w:val="en-US"/>
        </w:rPr>
      </w:pPr>
      <w:r w:rsidRPr="00715199">
        <w:rPr>
          <w:b/>
          <w:bCs/>
          <w:sz w:val="22"/>
          <w:szCs w:val="22"/>
          <w:lang w:val="en-US"/>
        </w:rPr>
        <w:t xml:space="preserve">Örnek Analiz: </w:t>
      </w:r>
    </w:p>
    <w:p w14:paraId="5937F93C" w14:textId="0A79FBC4" w:rsidR="00DA79D6" w:rsidRPr="00715199" w:rsidRDefault="00DA79D6" w:rsidP="00715199">
      <w:pPr>
        <w:spacing w:after="0" w:line="360" w:lineRule="auto"/>
        <w:rPr>
          <w:b/>
          <w:bCs/>
          <w:sz w:val="22"/>
          <w:szCs w:val="22"/>
          <w:lang w:val="en-US"/>
        </w:rPr>
      </w:pPr>
      <w:r w:rsidRPr="00715199">
        <w:rPr>
          <w:b/>
          <w:bCs/>
          <w:sz w:val="22"/>
          <w:szCs w:val="22"/>
        </w:rPr>
        <w:t>Measurement Model and Measurement Invariance</w:t>
      </w:r>
    </w:p>
    <w:p w14:paraId="7C5825EF" w14:textId="5672549D" w:rsidR="00715199" w:rsidRPr="00715199" w:rsidRDefault="00DA79D6" w:rsidP="00715199">
      <w:pPr>
        <w:spacing w:after="0" w:line="360" w:lineRule="auto"/>
        <w:rPr>
          <w:sz w:val="22"/>
          <w:szCs w:val="22"/>
        </w:rPr>
      </w:pPr>
      <w:r w:rsidRPr="00715199">
        <w:rPr>
          <w:sz w:val="22"/>
          <w:szCs w:val="22"/>
        </w:rPr>
        <w:t>Before testing the structural model, the validity of the measurement model containing the four scales used in the research (Ölçek 1, Ölçek 2, Ölçek 3, Ölçek 4) was evaluated with CFA separately for each Örneklem 1 and Örneklem 2. Analysis results revealed that the model's fit indices were at acceptable levels for both samples.</w:t>
      </w:r>
    </w:p>
    <w:p w14:paraId="60434714" w14:textId="4CC3291B" w:rsidR="00DA79D6" w:rsidRPr="00715199" w:rsidRDefault="00DA79D6" w:rsidP="00715199">
      <w:pPr>
        <w:pStyle w:val="ResimYazs"/>
        <w:keepNext/>
        <w:spacing w:after="0" w:line="360" w:lineRule="auto"/>
        <w:rPr>
          <w:i w:val="0"/>
          <w:iCs w:val="0"/>
          <w:color w:val="auto"/>
          <w:sz w:val="22"/>
          <w:szCs w:val="22"/>
          <w:lang w:val="en-US"/>
        </w:rPr>
      </w:pPr>
      <w:r w:rsidRPr="00715199">
        <w:rPr>
          <w:b/>
          <w:bCs/>
          <w:i w:val="0"/>
          <w:iCs w:val="0"/>
          <w:color w:val="auto"/>
          <w:sz w:val="22"/>
          <w:szCs w:val="22"/>
          <w:lang w:val="en-US"/>
        </w:rPr>
        <w:t xml:space="preserve">Table </w:t>
      </w:r>
      <w:r w:rsidRPr="00715199">
        <w:rPr>
          <w:b/>
          <w:bCs/>
          <w:i w:val="0"/>
          <w:iCs w:val="0"/>
          <w:color w:val="auto"/>
          <w:sz w:val="22"/>
          <w:szCs w:val="22"/>
          <w:lang w:val="en-US"/>
        </w:rPr>
        <w:fldChar w:fldCharType="begin"/>
      </w:r>
      <w:r w:rsidRPr="00715199">
        <w:rPr>
          <w:b/>
          <w:bCs/>
          <w:i w:val="0"/>
          <w:iCs w:val="0"/>
          <w:color w:val="auto"/>
          <w:sz w:val="22"/>
          <w:szCs w:val="22"/>
          <w:lang w:val="en-US"/>
        </w:rPr>
        <w:instrText xml:space="preserve"> SEQ Table \* ARABIC </w:instrText>
      </w:r>
      <w:r w:rsidRPr="00715199">
        <w:rPr>
          <w:b/>
          <w:bCs/>
          <w:i w:val="0"/>
          <w:iCs w:val="0"/>
          <w:color w:val="auto"/>
          <w:sz w:val="22"/>
          <w:szCs w:val="22"/>
          <w:lang w:val="en-US"/>
        </w:rPr>
        <w:fldChar w:fldCharType="separate"/>
      </w:r>
      <w:r w:rsidRPr="00715199">
        <w:rPr>
          <w:b/>
          <w:bCs/>
          <w:i w:val="0"/>
          <w:iCs w:val="0"/>
          <w:noProof/>
          <w:color w:val="auto"/>
          <w:sz w:val="22"/>
          <w:szCs w:val="22"/>
          <w:lang w:val="en-US"/>
        </w:rPr>
        <w:t>1</w:t>
      </w:r>
      <w:r w:rsidRPr="00715199">
        <w:rPr>
          <w:b/>
          <w:bCs/>
          <w:i w:val="0"/>
          <w:iCs w:val="0"/>
          <w:color w:val="auto"/>
          <w:sz w:val="22"/>
          <w:szCs w:val="22"/>
          <w:lang w:val="en-US"/>
        </w:rPr>
        <w:fldChar w:fldCharType="end"/>
      </w:r>
      <w:r w:rsidRPr="00715199">
        <w:rPr>
          <w:i w:val="0"/>
          <w:iCs w:val="0"/>
          <w:color w:val="auto"/>
          <w:sz w:val="22"/>
          <w:szCs w:val="22"/>
          <w:lang w:val="en-US"/>
        </w:rPr>
        <w:t xml:space="preserve"> Measurement model reliability and validity indicators</w:t>
      </w:r>
    </w:p>
    <w:tbl>
      <w:tblPr>
        <w:tblStyle w:val="TabloKlavuzu"/>
        <w:tblW w:w="5000" w:type="pct"/>
        <w:tblLook w:val="04A0" w:firstRow="1" w:lastRow="0" w:firstColumn="1" w:lastColumn="0" w:noHBand="0" w:noVBand="1"/>
      </w:tblPr>
      <w:tblGrid>
        <w:gridCol w:w="1525"/>
        <w:gridCol w:w="1474"/>
        <w:gridCol w:w="2797"/>
        <w:gridCol w:w="739"/>
        <w:gridCol w:w="836"/>
        <w:gridCol w:w="1691"/>
      </w:tblGrid>
      <w:tr w:rsidR="00DA79D6" w:rsidRPr="00715199" w14:paraId="77E4BF49" w14:textId="77777777" w:rsidTr="00715199">
        <w:tc>
          <w:tcPr>
            <w:tcW w:w="841" w:type="pct"/>
            <w:hideMark/>
          </w:tcPr>
          <w:p w14:paraId="400E375B"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Sample</w:t>
            </w:r>
          </w:p>
        </w:tc>
        <w:tc>
          <w:tcPr>
            <w:tcW w:w="813" w:type="pct"/>
            <w:hideMark/>
          </w:tcPr>
          <w:p w14:paraId="7C6E87A1"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Scale</w:t>
            </w:r>
          </w:p>
        </w:tc>
        <w:tc>
          <w:tcPr>
            <w:tcW w:w="1543" w:type="pct"/>
            <w:hideMark/>
          </w:tcPr>
          <w:p w14:paraId="37562912"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Factor Loading Range</w:t>
            </w:r>
          </w:p>
        </w:tc>
        <w:tc>
          <w:tcPr>
            <w:tcW w:w="408" w:type="pct"/>
            <w:hideMark/>
          </w:tcPr>
          <w:p w14:paraId="7F725B7F"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CR</w:t>
            </w:r>
          </w:p>
        </w:tc>
        <w:tc>
          <w:tcPr>
            <w:tcW w:w="461" w:type="pct"/>
            <w:hideMark/>
          </w:tcPr>
          <w:p w14:paraId="612D0DAC"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AVE</w:t>
            </w:r>
          </w:p>
        </w:tc>
        <w:tc>
          <w:tcPr>
            <w:tcW w:w="933" w:type="pct"/>
            <w:hideMark/>
          </w:tcPr>
          <w:p w14:paraId="187266F7"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Correlations</w:t>
            </w:r>
          </w:p>
        </w:tc>
      </w:tr>
      <w:tr w:rsidR="00DA79D6" w:rsidRPr="00715199" w14:paraId="3D10982B" w14:textId="77777777" w:rsidTr="00715199">
        <w:tc>
          <w:tcPr>
            <w:tcW w:w="841" w:type="pct"/>
            <w:hideMark/>
          </w:tcPr>
          <w:p w14:paraId="1D8B3E25"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Örneklem 1</w:t>
            </w:r>
          </w:p>
        </w:tc>
        <w:tc>
          <w:tcPr>
            <w:tcW w:w="813" w:type="pct"/>
            <w:hideMark/>
          </w:tcPr>
          <w:p w14:paraId="01DBD734"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(1) Ölçek 1</w:t>
            </w:r>
          </w:p>
        </w:tc>
        <w:tc>
          <w:tcPr>
            <w:tcW w:w="1543" w:type="pct"/>
            <w:hideMark/>
          </w:tcPr>
          <w:p w14:paraId="69DB9D7C"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.xxx-.xxx</w:t>
            </w:r>
          </w:p>
        </w:tc>
        <w:tc>
          <w:tcPr>
            <w:tcW w:w="408" w:type="pct"/>
            <w:hideMark/>
          </w:tcPr>
          <w:p w14:paraId="293595B6"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61" w:type="pct"/>
            <w:hideMark/>
          </w:tcPr>
          <w:p w14:paraId="07BD34AC"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33" w:type="pct"/>
            <w:hideMark/>
          </w:tcPr>
          <w:p w14:paraId="009A5DE4"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w:t>
            </w:r>
          </w:p>
        </w:tc>
      </w:tr>
      <w:tr w:rsidR="00DA79D6" w:rsidRPr="00715199" w14:paraId="2FAE8306" w14:textId="77777777" w:rsidTr="00715199">
        <w:tc>
          <w:tcPr>
            <w:tcW w:w="841" w:type="pct"/>
            <w:hideMark/>
          </w:tcPr>
          <w:p w14:paraId="40AA8722" w14:textId="77777777" w:rsidR="00DA79D6" w:rsidRPr="00715199" w:rsidRDefault="00DA79D6" w:rsidP="00715199">
            <w:pPr>
              <w:spacing w:after="0"/>
              <w:jc w:val="left"/>
              <w:rPr>
                <w:rFonts w:eastAsia="Times New Roman"/>
                <w:kern w:val="0"/>
                <w:sz w:val="20"/>
                <w:szCs w:val="20"/>
                <w:lang w:eastAsia="tr-TR"/>
                <w14:ligatures w14:val="none"/>
              </w:rPr>
            </w:pPr>
          </w:p>
        </w:tc>
        <w:tc>
          <w:tcPr>
            <w:tcW w:w="813" w:type="pct"/>
            <w:hideMark/>
          </w:tcPr>
          <w:p w14:paraId="690EFCAA"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(2) Ölçek 2</w:t>
            </w:r>
          </w:p>
        </w:tc>
        <w:tc>
          <w:tcPr>
            <w:tcW w:w="1543" w:type="pct"/>
            <w:hideMark/>
          </w:tcPr>
          <w:p w14:paraId="7EFFF360"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.xxx-.xxx</w:t>
            </w:r>
          </w:p>
        </w:tc>
        <w:tc>
          <w:tcPr>
            <w:tcW w:w="408" w:type="pct"/>
            <w:hideMark/>
          </w:tcPr>
          <w:p w14:paraId="3C28A01D"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61" w:type="pct"/>
            <w:hideMark/>
          </w:tcPr>
          <w:p w14:paraId="7D934422"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33" w:type="pct"/>
            <w:hideMark/>
          </w:tcPr>
          <w:p w14:paraId="15A9D71F" w14:textId="77777777" w:rsidR="00DA79D6" w:rsidRPr="00715199" w:rsidRDefault="00DA79D6" w:rsidP="00715199">
            <w:pPr>
              <w:spacing w:after="0"/>
              <w:jc w:val="left"/>
              <w:rPr>
                <w:rFonts w:eastAsia="Times New Roman"/>
                <w:kern w:val="0"/>
                <w:sz w:val="20"/>
                <w:szCs w:val="20"/>
                <w:lang w:eastAsia="tr-TR"/>
                <w14:ligatures w14:val="none"/>
              </w:rPr>
            </w:pPr>
          </w:p>
        </w:tc>
      </w:tr>
      <w:tr w:rsidR="00DA79D6" w:rsidRPr="00715199" w14:paraId="7B3B351C" w14:textId="77777777" w:rsidTr="00715199">
        <w:tc>
          <w:tcPr>
            <w:tcW w:w="841" w:type="pct"/>
            <w:hideMark/>
          </w:tcPr>
          <w:p w14:paraId="54E550F3" w14:textId="77777777" w:rsidR="00DA79D6" w:rsidRPr="00715199" w:rsidRDefault="00DA79D6" w:rsidP="00715199">
            <w:pPr>
              <w:spacing w:after="0"/>
              <w:jc w:val="left"/>
              <w:rPr>
                <w:rFonts w:eastAsia="Times New Roman"/>
                <w:kern w:val="0"/>
                <w:sz w:val="20"/>
                <w:szCs w:val="20"/>
                <w:lang w:eastAsia="tr-TR"/>
                <w14:ligatures w14:val="none"/>
              </w:rPr>
            </w:pPr>
          </w:p>
        </w:tc>
        <w:tc>
          <w:tcPr>
            <w:tcW w:w="813" w:type="pct"/>
            <w:hideMark/>
          </w:tcPr>
          <w:p w14:paraId="7C5F56F6"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(3) Ölçek 3</w:t>
            </w:r>
          </w:p>
        </w:tc>
        <w:tc>
          <w:tcPr>
            <w:tcW w:w="1543" w:type="pct"/>
            <w:hideMark/>
          </w:tcPr>
          <w:p w14:paraId="70980FA7"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.xxx-.xxx</w:t>
            </w:r>
          </w:p>
        </w:tc>
        <w:tc>
          <w:tcPr>
            <w:tcW w:w="408" w:type="pct"/>
            <w:hideMark/>
          </w:tcPr>
          <w:p w14:paraId="149D7647"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61" w:type="pct"/>
            <w:hideMark/>
          </w:tcPr>
          <w:p w14:paraId="77CF37F7"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33" w:type="pct"/>
            <w:hideMark/>
          </w:tcPr>
          <w:p w14:paraId="63A2E515" w14:textId="77777777" w:rsidR="00DA79D6" w:rsidRPr="00715199" w:rsidRDefault="00DA79D6" w:rsidP="00715199">
            <w:pPr>
              <w:spacing w:after="0"/>
              <w:jc w:val="left"/>
              <w:rPr>
                <w:rFonts w:eastAsia="Times New Roman"/>
                <w:kern w:val="0"/>
                <w:sz w:val="20"/>
                <w:szCs w:val="20"/>
                <w:lang w:eastAsia="tr-TR"/>
                <w14:ligatures w14:val="none"/>
              </w:rPr>
            </w:pPr>
          </w:p>
        </w:tc>
      </w:tr>
      <w:tr w:rsidR="00DA79D6" w:rsidRPr="00715199" w14:paraId="43A159C1" w14:textId="77777777" w:rsidTr="00715199">
        <w:tc>
          <w:tcPr>
            <w:tcW w:w="841" w:type="pct"/>
            <w:hideMark/>
          </w:tcPr>
          <w:p w14:paraId="29717540" w14:textId="77777777" w:rsidR="00DA79D6" w:rsidRPr="00715199" w:rsidRDefault="00DA79D6" w:rsidP="00715199">
            <w:pPr>
              <w:spacing w:after="0"/>
              <w:jc w:val="left"/>
              <w:rPr>
                <w:rFonts w:eastAsia="Times New Roman"/>
                <w:kern w:val="0"/>
                <w:sz w:val="20"/>
                <w:szCs w:val="20"/>
                <w:lang w:eastAsia="tr-TR"/>
                <w14:ligatures w14:val="none"/>
              </w:rPr>
            </w:pPr>
          </w:p>
        </w:tc>
        <w:tc>
          <w:tcPr>
            <w:tcW w:w="813" w:type="pct"/>
            <w:hideMark/>
          </w:tcPr>
          <w:p w14:paraId="00ABD851"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(4) Ölçek 4</w:t>
            </w:r>
          </w:p>
        </w:tc>
        <w:tc>
          <w:tcPr>
            <w:tcW w:w="1543" w:type="pct"/>
            <w:hideMark/>
          </w:tcPr>
          <w:p w14:paraId="5B965A84"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.xxx-.xxx</w:t>
            </w:r>
          </w:p>
        </w:tc>
        <w:tc>
          <w:tcPr>
            <w:tcW w:w="408" w:type="pct"/>
            <w:hideMark/>
          </w:tcPr>
          <w:p w14:paraId="321B518C"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61" w:type="pct"/>
            <w:hideMark/>
          </w:tcPr>
          <w:p w14:paraId="5D1433C3"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33" w:type="pct"/>
            <w:hideMark/>
          </w:tcPr>
          <w:p w14:paraId="6B1299C0" w14:textId="77777777" w:rsidR="00DA79D6" w:rsidRPr="00715199" w:rsidRDefault="00DA79D6" w:rsidP="00715199">
            <w:pPr>
              <w:spacing w:after="0"/>
              <w:jc w:val="left"/>
              <w:rPr>
                <w:rFonts w:eastAsia="Times New Roman"/>
                <w:kern w:val="0"/>
                <w:sz w:val="20"/>
                <w:szCs w:val="20"/>
                <w:lang w:eastAsia="tr-TR"/>
                <w14:ligatures w14:val="none"/>
              </w:rPr>
            </w:pPr>
          </w:p>
        </w:tc>
      </w:tr>
      <w:tr w:rsidR="00DA79D6" w:rsidRPr="00715199" w14:paraId="0957E0CF" w14:textId="77777777" w:rsidTr="00715199">
        <w:tc>
          <w:tcPr>
            <w:tcW w:w="841" w:type="pct"/>
            <w:hideMark/>
          </w:tcPr>
          <w:p w14:paraId="1FFD1675"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Örneklem 2</w:t>
            </w:r>
          </w:p>
        </w:tc>
        <w:tc>
          <w:tcPr>
            <w:tcW w:w="813" w:type="pct"/>
            <w:hideMark/>
          </w:tcPr>
          <w:p w14:paraId="4B535C12"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(1) Ölçek 1</w:t>
            </w:r>
          </w:p>
        </w:tc>
        <w:tc>
          <w:tcPr>
            <w:tcW w:w="1543" w:type="pct"/>
            <w:hideMark/>
          </w:tcPr>
          <w:p w14:paraId="58000903"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.xxx-.xxx</w:t>
            </w:r>
          </w:p>
        </w:tc>
        <w:tc>
          <w:tcPr>
            <w:tcW w:w="408" w:type="pct"/>
            <w:hideMark/>
          </w:tcPr>
          <w:p w14:paraId="14669634"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61" w:type="pct"/>
            <w:hideMark/>
          </w:tcPr>
          <w:p w14:paraId="3E9D01C3"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33" w:type="pct"/>
            <w:hideMark/>
          </w:tcPr>
          <w:p w14:paraId="28596A83"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w:t>
            </w:r>
          </w:p>
        </w:tc>
      </w:tr>
      <w:tr w:rsidR="00DA79D6" w:rsidRPr="00715199" w14:paraId="18F8E0CE" w14:textId="77777777" w:rsidTr="00715199">
        <w:tc>
          <w:tcPr>
            <w:tcW w:w="841" w:type="pct"/>
            <w:hideMark/>
          </w:tcPr>
          <w:p w14:paraId="0B58280A" w14:textId="77777777" w:rsidR="00DA79D6" w:rsidRPr="00715199" w:rsidRDefault="00DA79D6" w:rsidP="00715199">
            <w:pPr>
              <w:spacing w:after="0"/>
              <w:jc w:val="left"/>
              <w:rPr>
                <w:rFonts w:eastAsia="Times New Roman"/>
                <w:kern w:val="0"/>
                <w:sz w:val="20"/>
                <w:szCs w:val="20"/>
                <w:lang w:eastAsia="tr-TR"/>
                <w14:ligatures w14:val="none"/>
              </w:rPr>
            </w:pPr>
          </w:p>
        </w:tc>
        <w:tc>
          <w:tcPr>
            <w:tcW w:w="813" w:type="pct"/>
            <w:hideMark/>
          </w:tcPr>
          <w:p w14:paraId="5004BC02"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(2) Ölçek 2</w:t>
            </w:r>
          </w:p>
        </w:tc>
        <w:tc>
          <w:tcPr>
            <w:tcW w:w="1543" w:type="pct"/>
            <w:hideMark/>
          </w:tcPr>
          <w:p w14:paraId="60AD714A"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.xxx-.xxx</w:t>
            </w:r>
          </w:p>
        </w:tc>
        <w:tc>
          <w:tcPr>
            <w:tcW w:w="408" w:type="pct"/>
            <w:hideMark/>
          </w:tcPr>
          <w:p w14:paraId="78E0188B"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61" w:type="pct"/>
            <w:hideMark/>
          </w:tcPr>
          <w:p w14:paraId="481A8594"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33" w:type="pct"/>
            <w:hideMark/>
          </w:tcPr>
          <w:p w14:paraId="3C836CFC" w14:textId="77777777" w:rsidR="00DA79D6" w:rsidRPr="00715199" w:rsidRDefault="00DA79D6" w:rsidP="00715199">
            <w:pPr>
              <w:spacing w:after="0"/>
              <w:jc w:val="left"/>
              <w:rPr>
                <w:rFonts w:eastAsia="Times New Roman"/>
                <w:kern w:val="0"/>
                <w:sz w:val="20"/>
                <w:szCs w:val="20"/>
                <w:lang w:eastAsia="tr-TR"/>
                <w14:ligatures w14:val="none"/>
              </w:rPr>
            </w:pPr>
          </w:p>
        </w:tc>
      </w:tr>
      <w:tr w:rsidR="00DA79D6" w:rsidRPr="00715199" w14:paraId="484BBF1E" w14:textId="77777777" w:rsidTr="00715199">
        <w:tc>
          <w:tcPr>
            <w:tcW w:w="841" w:type="pct"/>
            <w:hideMark/>
          </w:tcPr>
          <w:p w14:paraId="1ED50FD6" w14:textId="77777777" w:rsidR="00DA79D6" w:rsidRPr="00715199" w:rsidRDefault="00DA79D6" w:rsidP="00715199">
            <w:pPr>
              <w:spacing w:after="0"/>
              <w:jc w:val="left"/>
              <w:rPr>
                <w:rFonts w:eastAsia="Times New Roman"/>
                <w:kern w:val="0"/>
                <w:sz w:val="20"/>
                <w:szCs w:val="20"/>
                <w:lang w:eastAsia="tr-TR"/>
                <w14:ligatures w14:val="none"/>
              </w:rPr>
            </w:pPr>
          </w:p>
        </w:tc>
        <w:tc>
          <w:tcPr>
            <w:tcW w:w="813" w:type="pct"/>
            <w:hideMark/>
          </w:tcPr>
          <w:p w14:paraId="6ECD45C7"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(3) Ölçek 3</w:t>
            </w:r>
          </w:p>
        </w:tc>
        <w:tc>
          <w:tcPr>
            <w:tcW w:w="1543" w:type="pct"/>
            <w:hideMark/>
          </w:tcPr>
          <w:p w14:paraId="53FAD69B"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.xxx-.xxx</w:t>
            </w:r>
          </w:p>
        </w:tc>
        <w:tc>
          <w:tcPr>
            <w:tcW w:w="408" w:type="pct"/>
            <w:hideMark/>
          </w:tcPr>
          <w:p w14:paraId="5907E720"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61" w:type="pct"/>
            <w:hideMark/>
          </w:tcPr>
          <w:p w14:paraId="1F3AA945"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33" w:type="pct"/>
            <w:hideMark/>
          </w:tcPr>
          <w:p w14:paraId="287C6C19" w14:textId="77777777" w:rsidR="00DA79D6" w:rsidRPr="00715199" w:rsidRDefault="00DA79D6" w:rsidP="00715199">
            <w:pPr>
              <w:spacing w:after="0"/>
              <w:jc w:val="left"/>
              <w:rPr>
                <w:rFonts w:eastAsia="Times New Roman"/>
                <w:kern w:val="0"/>
                <w:sz w:val="20"/>
                <w:szCs w:val="20"/>
                <w:lang w:eastAsia="tr-TR"/>
                <w14:ligatures w14:val="none"/>
              </w:rPr>
            </w:pPr>
          </w:p>
        </w:tc>
      </w:tr>
      <w:tr w:rsidR="00DA79D6" w:rsidRPr="00715199" w14:paraId="1E0BE825" w14:textId="77777777" w:rsidTr="00715199">
        <w:tc>
          <w:tcPr>
            <w:tcW w:w="841" w:type="pct"/>
            <w:hideMark/>
          </w:tcPr>
          <w:p w14:paraId="1CEFB90B" w14:textId="77777777" w:rsidR="00DA79D6" w:rsidRPr="00715199" w:rsidRDefault="00DA79D6" w:rsidP="00715199">
            <w:pPr>
              <w:spacing w:after="0"/>
              <w:jc w:val="left"/>
              <w:rPr>
                <w:rFonts w:eastAsia="Times New Roman"/>
                <w:kern w:val="0"/>
                <w:sz w:val="20"/>
                <w:szCs w:val="20"/>
                <w:lang w:eastAsia="tr-TR"/>
                <w14:ligatures w14:val="none"/>
              </w:rPr>
            </w:pPr>
          </w:p>
        </w:tc>
        <w:tc>
          <w:tcPr>
            <w:tcW w:w="813" w:type="pct"/>
            <w:hideMark/>
          </w:tcPr>
          <w:p w14:paraId="339A97FD"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(4) Ölçek 4</w:t>
            </w:r>
          </w:p>
        </w:tc>
        <w:tc>
          <w:tcPr>
            <w:tcW w:w="1543" w:type="pct"/>
            <w:hideMark/>
          </w:tcPr>
          <w:p w14:paraId="4CC59934"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.xxx-.xxx</w:t>
            </w:r>
          </w:p>
        </w:tc>
        <w:tc>
          <w:tcPr>
            <w:tcW w:w="408" w:type="pct"/>
            <w:hideMark/>
          </w:tcPr>
          <w:p w14:paraId="539346FE"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61" w:type="pct"/>
            <w:hideMark/>
          </w:tcPr>
          <w:p w14:paraId="541755B7"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33" w:type="pct"/>
            <w:hideMark/>
          </w:tcPr>
          <w:p w14:paraId="1E402659" w14:textId="77777777" w:rsidR="00DA79D6" w:rsidRPr="00715199" w:rsidRDefault="00DA79D6" w:rsidP="00715199">
            <w:pPr>
              <w:spacing w:after="0"/>
              <w:jc w:val="left"/>
              <w:rPr>
                <w:rFonts w:eastAsia="Times New Roman"/>
                <w:kern w:val="0"/>
                <w:sz w:val="20"/>
                <w:szCs w:val="20"/>
                <w:lang w:eastAsia="tr-TR"/>
                <w14:ligatures w14:val="none"/>
              </w:rPr>
            </w:pPr>
          </w:p>
        </w:tc>
      </w:tr>
    </w:tbl>
    <w:p w14:paraId="6596BE8B" w14:textId="4564873B" w:rsidR="00DA79D6" w:rsidRPr="00715199" w:rsidRDefault="00DA79D6" w:rsidP="00715199">
      <w:pPr>
        <w:spacing w:after="0" w:line="360" w:lineRule="auto"/>
        <w:rPr>
          <w:sz w:val="22"/>
          <w:szCs w:val="22"/>
          <w:lang w:val="en-US"/>
        </w:rPr>
      </w:pPr>
      <w:r w:rsidRPr="00715199">
        <w:rPr>
          <w:i/>
          <w:iCs/>
          <w:sz w:val="22"/>
          <w:szCs w:val="22"/>
          <w:lang w:val="en-US"/>
        </w:rPr>
        <w:t>Note.</w:t>
      </w:r>
      <w:r w:rsidRPr="00715199">
        <w:rPr>
          <w:sz w:val="22"/>
          <w:szCs w:val="22"/>
          <w:lang w:val="en-US"/>
        </w:rPr>
        <w:t xml:space="preserve"> PS = </w:t>
      </w:r>
      <w:r w:rsidR="00120EE4" w:rsidRPr="00715199">
        <w:rPr>
          <w:sz w:val="22"/>
          <w:szCs w:val="22"/>
          <w:lang w:val="en-US"/>
        </w:rPr>
        <w:t>….</w:t>
      </w:r>
    </w:p>
    <w:p w14:paraId="6318BBD3" w14:textId="77777777" w:rsidR="00DA79D6" w:rsidRPr="00715199" w:rsidRDefault="00DA79D6" w:rsidP="00715199">
      <w:pPr>
        <w:spacing w:after="0" w:line="360" w:lineRule="auto"/>
        <w:rPr>
          <w:sz w:val="22"/>
          <w:szCs w:val="22"/>
          <w:lang w:val="en-US"/>
        </w:rPr>
      </w:pPr>
      <w:r w:rsidRPr="00715199">
        <w:rPr>
          <w:sz w:val="22"/>
          <w:szCs w:val="22"/>
          <w:lang w:val="en-US"/>
        </w:rPr>
        <w:lastRenderedPageBreak/>
        <w:t>For cross-cultural comparisons to be valid, the measurement model must be invariant between the Turkish and U.S. samples (Vandenberg &amp; Lance, 2000). For this purpose, measurement invariance tests were conducted using multi-group CFA. In this process, configural, metric, scalar, and strict invariance models were tested sequentially. Changes in CFI (ΔCFI) and RMSEA (ΔRMSEA) values were examined to evaluate the difference in fit between models, and the criteria of ΔCFI ≤ .010 and ΔRMSEA ≤ .015 were used as the basis for accepting invariance (Chen, 2007; Cheung &amp; Rensvold, 2002).</w:t>
      </w:r>
    </w:p>
    <w:p w14:paraId="6938ADB4" w14:textId="0C5BF1F5" w:rsidR="00715199" w:rsidRPr="00715199" w:rsidRDefault="00DA79D6" w:rsidP="00715199">
      <w:pPr>
        <w:spacing w:after="0" w:line="360" w:lineRule="auto"/>
        <w:rPr>
          <w:spacing w:val="-2"/>
          <w:sz w:val="22"/>
          <w:szCs w:val="22"/>
          <w:lang w:val="en-US"/>
        </w:rPr>
      </w:pPr>
      <w:r w:rsidRPr="00715199">
        <w:rPr>
          <w:spacing w:val="-2"/>
          <w:sz w:val="22"/>
          <w:szCs w:val="22"/>
          <w:lang w:val="en-US"/>
        </w:rPr>
        <w:t xml:space="preserve">Measurement invariance analysis results are presented in Table 3. First, the configural invariance model was tested and showed acceptable fit (χ² = 961.62, </w:t>
      </w:r>
      <w:r w:rsidRPr="00715199">
        <w:rPr>
          <w:i/>
          <w:iCs/>
          <w:spacing w:val="-2"/>
          <w:sz w:val="22"/>
          <w:szCs w:val="22"/>
          <w:lang w:val="en-US"/>
        </w:rPr>
        <w:t>df</w:t>
      </w:r>
      <w:r w:rsidRPr="00715199">
        <w:rPr>
          <w:spacing w:val="-2"/>
          <w:sz w:val="22"/>
          <w:szCs w:val="22"/>
          <w:lang w:val="en-US"/>
        </w:rPr>
        <w:t xml:space="preserve"> = 916, </w:t>
      </w:r>
      <w:r w:rsidRPr="00715199">
        <w:rPr>
          <w:i/>
          <w:iCs/>
          <w:spacing w:val="-2"/>
          <w:sz w:val="22"/>
          <w:szCs w:val="22"/>
          <w:lang w:val="en-US"/>
        </w:rPr>
        <w:t>p</w:t>
      </w:r>
      <w:r w:rsidRPr="00715199">
        <w:rPr>
          <w:spacing w:val="-2"/>
          <w:sz w:val="22"/>
          <w:szCs w:val="22"/>
          <w:lang w:val="en-US"/>
        </w:rPr>
        <w:t xml:space="preserve"> = .144; CFI = .995, RMSEA = .010 [90% CI: .001–.016]). This finding indicates that the basic structure of the measurement model is the same in both cultures. In the second stage, the metric invariance model, in which factor loadings were constrained to be equal across groups, was tested. No significant deterioration in model fit was observed (ΔCFI = .001, ΔRMSEA = -.002). In the third stage, the scalar invariance model, in which item intercepts were constrained to be equal, was tested, and the change in model fit remained within acceptable limits (ΔCFI = -.004, ΔRMSEA = .004). Finally, the strict invariance model, in which error variances were constrained to be equal, was tested, and the change in model fit at this stage was also found to be at an acceptable level (ΔCFI = -.002, ΔRMSEA = .001). All ΔCFI and ΔRMSEA values meet the recommended criteria (Chen, 2007; Cheung &amp; Rensvold, 2002). These findings reveal that the measurement model shows full invariance between the T</w:t>
      </w:r>
      <w:r w:rsidR="00120EE4" w:rsidRPr="00715199">
        <w:rPr>
          <w:spacing w:val="-2"/>
          <w:sz w:val="22"/>
          <w:szCs w:val="22"/>
          <w:lang w:val="en-US"/>
        </w:rPr>
        <w:t>…</w:t>
      </w:r>
      <w:r w:rsidRPr="00715199">
        <w:rPr>
          <w:spacing w:val="-2"/>
          <w:sz w:val="22"/>
          <w:szCs w:val="22"/>
          <w:lang w:val="en-US"/>
        </w:rPr>
        <w:t xml:space="preserve"> and</w:t>
      </w:r>
      <w:r w:rsidR="00120EE4" w:rsidRPr="00715199">
        <w:rPr>
          <w:spacing w:val="-2"/>
          <w:sz w:val="22"/>
          <w:szCs w:val="22"/>
          <w:lang w:val="en-US"/>
        </w:rPr>
        <w:t>….</w:t>
      </w:r>
      <w:r w:rsidRPr="00715199">
        <w:rPr>
          <w:spacing w:val="-2"/>
          <w:sz w:val="22"/>
          <w:szCs w:val="22"/>
          <w:lang w:val="en-US"/>
        </w:rPr>
        <w:t>. samples and indicate that the necessary prerequisite for cross-cultural comparison of the structural model has been met.</w:t>
      </w:r>
    </w:p>
    <w:p w14:paraId="073D458F" w14:textId="77777777" w:rsidR="00DA79D6" w:rsidRPr="00715199" w:rsidRDefault="00DA79D6" w:rsidP="00715199">
      <w:pPr>
        <w:pStyle w:val="ResimYazs"/>
        <w:keepNext/>
        <w:spacing w:after="0" w:line="360" w:lineRule="auto"/>
        <w:rPr>
          <w:i w:val="0"/>
          <w:iCs w:val="0"/>
          <w:color w:val="auto"/>
          <w:sz w:val="22"/>
          <w:szCs w:val="22"/>
          <w:lang w:val="en-US"/>
        </w:rPr>
      </w:pPr>
      <w:r w:rsidRPr="00715199">
        <w:rPr>
          <w:b/>
          <w:bCs/>
          <w:i w:val="0"/>
          <w:iCs w:val="0"/>
          <w:color w:val="auto"/>
          <w:sz w:val="22"/>
          <w:szCs w:val="22"/>
          <w:lang w:val="en-US"/>
        </w:rPr>
        <w:t xml:space="preserve">Table </w:t>
      </w:r>
      <w:r w:rsidRPr="00715199">
        <w:rPr>
          <w:b/>
          <w:bCs/>
          <w:i w:val="0"/>
          <w:iCs w:val="0"/>
          <w:color w:val="auto"/>
          <w:sz w:val="22"/>
          <w:szCs w:val="22"/>
          <w:lang w:val="en-US"/>
        </w:rPr>
        <w:fldChar w:fldCharType="begin"/>
      </w:r>
      <w:r w:rsidRPr="00715199">
        <w:rPr>
          <w:b/>
          <w:bCs/>
          <w:i w:val="0"/>
          <w:iCs w:val="0"/>
          <w:color w:val="auto"/>
          <w:sz w:val="22"/>
          <w:szCs w:val="22"/>
          <w:lang w:val="en-US"/>
        </w:rPr>
        <w:instrText xml:space="preserve"> SEQ Table \* ARABIC </w:instrText>
      </w:r>
      <w:r w:rsidRPr="00715199">
        <w:rPr>
          <w:b/>
          <w:bCs/>
          <w:i w:val="0"/>
          <w:iCs w:val="0"/>
          <w:color w:val="auto"/>
          <w:sz w:val="22"/>
          <w:szCs w:val="22"/>
          <w:lang w:val="en-US"/>
        </w:rPr>
        <w:fldChar w:fldCharType="separate"/>
      </w:r>
      <w:r w:rsidRPr="00715199">
        <w:rPr>
          <w:b/>
          <w:bCs/>
          <w:i w:val="0"/>
          <w:iCs w:val="0"/>
          <w:noProof/>
          <w:color w:val="auto"/>
          <w:sz w:val="22"/>
          <w:szCs w:val="22"/>
          <w:lang w:val="en-US"/>
        </w:rPr>
        <w:t>2</w:t>
      </w:r>
      <w:r w:rsidRPr="00715199">
        <w:rPr>
          <w:b/>
          <w:bCs/>
          <w:i w:val="0"/>
          <w:iCs w:val="0"/>
          <w:color w:val="auto"/>
          <w:sz w:val="22"/>
          <w:szCs w:val="22"/>
          <w:lang w:val="en-US"/>
        </w:rPr>
        <w:fldChar w:fldCharType="end"/>
      </w:r>
      <w:r w:rsidRPr="00715199">
        <w:rPr>
          <w:b/>
          <w:bCs/>
          <w:i w:val="0"/>
          <w:iCs w:val="0"/>
          <w:color w:val="auto"/>
          <w:sz w:val="22"/>
          <w:szCs w:val="22"/>
          <w:lang w:val="en-US"/>
        </w:rPr>
        <w:t xml:space="preserve"> </w:t>
      </w:r>
      <w:r w:rsidRPr="00715199">
        <w:rPr>
          <w:i w:val="0"/>
          <w:iCs w:val="0"/>
          <w:color w:val="auto"/>
          <w:sz w:val="22"/>
          <w:szCs w:val="22"/>
          <w:lang w:val="en-US"/>
        </w:rPr>
        <w:t>Cross-cultural measurement invariance analysis results</w:t>
      </w:r>
    </w:p>
    <w:tbl>
      <w:tblPr>
        <w:tblStyle w:val="TabloKlavuzu"/>
        <w:tblW w:w="5000" w:type="pct"/>
        <w:tblLook w:val="04A0" w:firstRow="1" w:lastRow="0" w:firstColumn="1" w:lastColumn="0" w:noHBand="0" w:noVBand="1"/>
      </w:tblPr>
      <w:tblGrid>
        <w:gridCol w:w="1565"/>
        <w:gridCol w:w="894"/>
        <w:gridCol w:w="894"/>
        <w:gridCol w:w="973"/>
        <w:gridCol w:w="1655"/>
        <w:gridCol w:w="1200"/>
        <w:gridCol w:w="1881"/>
      </w:tblGrid>
      <w:tr w:rsidR="00DA79D6" w:rsidRPr="00715199" w14:paraId="7EFD6DD6" w14:textId="77777777" w:rsidTr="00DA79D6">
        <w:tc>
          <w:tcPr>
            <w:tcW w:w="863" w:type="pct"/>
            <w:hideMark/>
          </w:tcPr>
          <w:p w14:paraId="5B87EDE4"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Model</w:t>
            </w:r>
          </w:p>
        </w:tc>
        <w:tc>
          <w:tcPr>
            <w:tcW w:w="493" w:type="pct"/>
            <w:hideMark/>
          </w:tcPr>
          <w:p w14:paraId="08BE271D"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χ²</w:t>
            </w:r>
          </w:p>
        </w:tc>
        <w:tc>
          <w:tcPr>
            <w:tcW w:w="493" w:type="pct"/>
            <w:hideMark/>
          </w:tcPr>
          <w:p w14:paraId="01EF2A81"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df</w:t>
            </w:r>
          </w:p>
        </w:tc>
        <w:tc>
          <w:tcPr>
            <w:tcW w:w="537" w:type="pct"/>
            <w:hideMark/>
          </w:tcPr>
          <w:p w14:paraId="4F3E355C"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CFI</w:t>
            </w:r>
          </w:p>
        </w:tc>
        <w:tc>
          <w:tcPr>
            <w:tcW w:w="913" w:type="pct"/>
            <w:hideMark/>
          </w:tcPr>
          <w:p w14:paraId="2091E17E"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RMSEA</w:t>
            </w:r>
          </w:p>
        </w:tc>
        <w:tc>
          <w:tcPr>
            <w:tcW w:w="662" w:type="pct"/>
            <w:hideMark/>
          </w:tcPr>
          <w:p w14:paraId="17846BCD"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ΔCFI</w:t>
            </w:r>
          </w:p>
        </w:tc>
        <w:tc>
          <w:tcPr>
            <w:tcW w:w="1038" w:type="pct"/>
            <w:hideMark/>
          </w:tcPr>
          <w:p w14:paraId="4E2866D2"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ΔRMSEA</w:t>
            </w:r>
          </w:p>
        </w:tc>
      </w:tr>
      <w:tr w:rsidR="00DA79D6" w:rsidRPr="00715199" w14:paraId="6478F634" w14:textId="77777777" w:rsidTr="00DA79D6">
        <w:tc>
          <w:tcPr>
            <w:tcW w:w="863" w:type="pct"/>
            <w:hideMark/>
          </w:tcPr>
          <w:p w14:paraId="5B6BABFE"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Model 1</w:t>
            </w:r>
          </w:p>
        </w:tc>
        <w:tc>
          <w:tcPr>
            <w:tcW w:w="493" w:type="pct"/>
            <w:hideMark/>
          </w:tcPr>
          <w:p w14:paraId="4CB215DA"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93" w:type="pct"/>
            <w:hideMark/>
          </w:tcPr>
          <w:p w14:paraId="66FD1938"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537" w:type="pct"/>
            <w:hideMark/>
          </w:tcPr>
          <w:p w14:paraId="16BD6F0F"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13" w:type="pct"/>
            <w:hideMark/>
          </w:tcPr>
          <w:p w14:paraId="7C5A53A2"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662" w:type="pct"/>
            <w:hideMark/>
          </w:tcPr>
          <w:p w14:paraId="30476F1B"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w:t>
            </w:r>
          </w:p>
        </w:tc>
        <w:tc>
          <w:tcPr>
            <w:tcW w:w="1038" w:type="pct"/>
            <w:hideMark/>
          </w:tcPr>
          <w:p w14:paraId="3F7E1F06"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w:t>
            </w:r>
          </w:p>
        </w:tc>
      </w:tr>
      <w:tr w:rsidR="00DA79D6" w:rsidRPr="00715199" w14:paraId="1A616325" w14:textId="77777777" w:rsidTr="00DA79D6">
        <w:tc>
          <w:tcPr>
            <w:tcW w:w="863" w:type="pct"/>
            <w:hideMark/>
          </w:tcPr>
          <w:p w14:paraId="0F8A1E9B"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Model 2</w:t>
            </w:r>
          </w:p>
        </w:tc>
        <w:tc>
          <w:tcPr>
            <w:tcW w:w="493" w:type="pct"/>
            <w:hideMark/>
          </w:tcPr>
          <w:p w14:paraId="40C4E17F"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93" w:type="pct"/>
            <w:hideMark/>
          </w:tcPr>
          <w:p w14:paraId="5C0BA006"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537" w:type="pct"/>
            <w:hideMark/>
          </w:tcPr>
          <w:p w14:paraId="4506ECAE"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13" w:type="pct"/>
            <w:hideMark/>
          </w:tcPr>
          <w:p w14:paraId="35B2BBA2"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662" w:type="pct"/>
            <w:hideMark/>
          </w:tcPr>
          <w:p w14:paraId="24D50953"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1038" w:type="pct"/>
            <w:hideMark/>
          </w:tcPr>
          <w:p w14:paraId="1BD375F8"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r>
      <w:tr w:rsidR="00DA79D6" w:rsidRPr="00715199" w14:paraId="09F72FEA" w14:textId="77777777" w:rsidTr="00DA79D6">
        <w:tc>
          <w:tcPr>
            <w:tcW w:w="863" w:type="pct"/>
            <w:hideMark/>
          </w:tcPr>
          <w:p w14:paraId="252530D3"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Model 3</w:t>
            </w:r>
          </w:p>
        </w:tc>
        <w:tc>
          <w:tcPr>
            <w:tcW w:w="493" w:type="pct"/>
            <w:hideMark/>
          </w:tcPr>
          <w:p w14:paraId="1ECED2D7"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93" w:type="pct"/>
            <w:hideMark/>
          </w:tcPr>
          <w:p w14:paraId="7F7B40D1"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537" w:type="pct"/>
            <w:hideMark/>
          </w:tcPr>
          <w:p w14:paraId="36729367"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13" w:type="pct"/>
            <w:hideMark/>
          </w:tcPr>
          <w:p w14:paraId="648DAB76"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662" w:type="pct"/>
            <w:hideMark/>
          </w:tcPr>
          <w:p w14:paraId="29F7ADED"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1038" w:type="pct"/>
            <w:hideMark/>
          </w:tcPr>
          <w:p w14:paraId="1DD831B2"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r>
      <w:tr w:rsidR="00DA79D6" w:rsidRPr="00715199" w14:paraId="18979264" w14:textId="77777777" w:rsidTr="00DA79D6">
        <w:tc>
          <w:tcPr>
            <w:tcW w:w="863" w:type="pct"/>
            <w:hideMark/>
          </w:tcPr>
          <w:p w14:paraId="6AF5EAF6"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Model 4</w:t>
            </w:r>
          </w:p>
        </w:tc>
        <w:tc>
          <w:tcPr>
            <w:tcW w:w="493" w:type="pct"/>
            <w:hideMark/>
          </w:tcPr>
          <w:p w14:paraId="7743E017"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493" w:type="pct"/>
            <w:hideMark/>
          </w:tcPr>
          <w:p w14:paraId="01F8D4CF"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537" w:type="pct"/>
            <w:hideMark/>
          </w:tcPr>
          <w:p w14:paraId="4208C5D1"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913" w:type="pct"/>
            <w:hideMark/>
          </w:tcPr>
          <w:p w14:paraId="6599BABE"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662" w:type="pct"/>
            <w:hideMark/>
          </w:tcPr>
          <w:p w14:paraId="559DF75E"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1038" w:type="pct"/>
            <w:hideMark/>
          </w:tcPr>
          <w:p w14:paraId="2827C404"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r>
    </w:tbl>
    <w:p w14:paraId="09F3642E" w14:textId="25350A5C" w:rsidR="00715199" w:rsidRPr="00715199" w:rsidRDefault="00DA79D6" w:rsidP="00715199">
      <w:pPr>
        <w:spacing w:after="0" w:line="360" w:lineRule="auto"/>
        <w:rPr>
          <w:sz w:val="22"/>
          <w:szCs w:val="22"/>
          <w:lang w:val="en-US"/>
        </w:rPr>
      </w:pPr>
      <w:r w:rsidRPr="00715199">
        <w:rPr>
          <w:i/>
          <w:iCs/>
          <w:sz w:val="22"/>
          <w:szCs w:val="22"/>
          <w:lang w:val="en-US"/>
        </w:rPr>
        <w:t>Note.</w:t>
      </w:r>
      <w:r w:rsidRPr="00715199">
        <w:rPr>
          <w:sz w:val="22"/>
          <w:szCs w:val="22"/>
          <w:lang w:val="en-US"/>
        </w:rPr>
        <w:t xml:space="preserve"> ΔCFI and ΔRMSEA values were calculated relative to the previous model.</w:t>
      </w:r>
    </w:p>
    <w:p w14:paraId="4AC484B4" w14:textId="5956E85D" w:rsidR="00DA79D6" w:rsidRPr="00715199" w:rsidRDefault="00DA79D6" w:rsidP="00715199">
      <w:pPr>
        <w:pStyle w:val="ResimYazs"/>
        <w:keepNext/>
        <w:spacing w:after="0" w:line="360" w:lineRule="auto"/>
        <w:rPr>
          <w:i w:val="0"/>
          <w:iCs w:val="0"/>
          <w:color w:val="auto"/>
          <w:sz w:val="22"/>
          <w:szCs w:val="22"/>
          <w:lang w:val="en-US"/>
        </w:rPr>
      </w:pPr>
      <w:r w:rsidRPr="00715199">
        <w:rPr>
          <w:i w:val="0"/>
          <w:iCs w:val="0"/>
          <w:color w:val="auto"/>
          <w:sz w:val="22"/>
          <w:szCs w:val="22"/>
          <w:lang w:val="en-US"/>
        </w:rPr>
        <w:t>Descriptive statistics for the variables used in the research are presented in Table 4. In Örneklem 2, bazı değişkenlerin düzeylerinin daha yüksek olduğu, diğer bazı değişkenlerin ise Örneklem 1’de daha yüksek olduğu görülmüştür. Skewness and kurtosis values indicated that all variables conformed to normal distribution and were suitable for parametric analyses.</w:t>
      </w:r>
    </w:p>
    <w:p w14:paraId="4BAD2E69" w14:textId="3D1D65C2" w:rsidR="00DA79D6" w:rsidRPr="00715199" w:rsidRDefault="00DA79D6" w:rsidP="00715199">
      <w:pPr>
        <w:pStyle w:val="ResimYazs"/>
        <w:keepNext/>
        <w:spacing w:after="0" w:line="360" w:lineRule="auto"/>
        <w:rPr>
          <w:i w:val="0"/>
          <w:iCs w:val="0"/>
          <w:color w:val="auto"/>
          <w:sz w:val="22"/>
          <w:szCs w:val="22"/>
          <w:lang w:val="en-US"/>
        </w:rPr>
      </w:pPr>
      <w:r w:rsidRPr="00715199">
        <w:rPr>
          <w:b/>
          <w:bCs/>
          <w:i w:val="0"/>
          <w:iCs w:val="0"/>
          <w:color w:val="auto"/>
          <w:sz w:val="22"/>
          <w:szCs w:val="22"/>
          <w:lang w:val="en-US"/>
        </w:rPr>
        <w:t xml:space="preserve">Table </w:t>
      </w:r>
      <w:r w:rsidRPr="00715199">
        <w:rPr>
          <w:b/>
          <w:bCs/>
          <w:i w:val="0"/>
          <w:iCs w:val="0"/>
          <w:color w:val="auto"/>
          <w:sz w:val="22"/>
          <w:szCs w:val="22"/>
          <w:lang w:val="en-US"/>
        </w:rPr>
        <w:fldChar w:fldCharType="begin"/>
      </w:r>
      <w:r w:rsidRPr="00715199">
        <w:rPr>
          <w:b/>
          <w:bCs/>
          <w:i w:val="0"/>
          <w:iCs w:val="0"/>
          <w:color w:val="auto"/>
          <w:sz w:val="22"/>
          <w:szCs w:val="22"/>
          <w:lang w:val="en-US"/>
        </w:rPr>
        <w:instrText xml:space="preserve"> SEQ Table \* ARABIC </w:instrText>
      </w:r>
      <w:r w:rsidRPr="00715199">
        <w:rPr>
          <w:b/>
          <w:bCs/>
          <w:i w:val="0"/>
          <w:iCs w:val="0"/>
          <w:color w:val="auto"/>
          <w:sz w:val="22"/>
          <w:szCs w:val="22"/>
          <w:lang w:val="en-US"/>
        </w:rPr>
        <w:fldChar w:fldCharType="separate"/>
      </w:r>
      <w:r w:rsidRPr="00715199">
        <w:rPr>
          <w:b/>
          <w:bCs/>
          <w:i w:val="0"/>
          <w:iCs w:val="0"/>
          <w:noProof/>
          <w:color w:val="auto"/>
          <w:sz w:val="22"/>
          <w:szCs w:val="22"/>
          <w:lang w:val="en-US"/>
        </w:rPr>
        <w:t>3</w:t>
      </w:r>
      <w:r w:rsidRPr="00715199">
        <w:rPr>
          <w:b/>
          <w:bCs/>
          <w:i w:val="0"/>
          <w:iCs w:val="0"/>
          <w:color w:val="auto"/>
          <w:sz w:val="22"/>
          <w:szCs w:val="22"/>
          <w:lang w:val="en-US"/>
        </w:rPr>
        <w:fldChar w:fldCharType="end"/>
      </w:r>
      <w:r w:rsidRPr="00715199">
        <w:rPr>
          <w:i w:val="0"/>
          <w:iCs w:val="0"/>
          <w:color w:val="auto"/>
          <w:sz w:val="22"/>
          <w:szCs w:val="22"/>
          <w:lang w:val="en-US"/>
        </w:rPr>
        <w:t xml:space="preserve"> Descriptive statistics for variables</w:t>
      </w:r>
    </w:p>
    <w:tbl>
      <w:tblPr>
        <w:tblStyle w:val="TabloKlavuzu"/>
        <w:tblW w:w="5000" w:type="pct"/>
        <w:tblLook w:val="04A0" w:firstRow="1" w:lastRow="0" w:firstColumn="1" w:lastColumn="0" w:noHBand="0" w:noVBand="1"/>
      </w:tblPr>
      <w:tblGrid>
        <w:gridCol w:w="2298"/>
        <w:gridCol w:w="3382"/>
        <w:gridCol w:w="3382"/>
      </w:tblGrid>
      <w:tr w:rsidR="00DA79D6" w:rsidRPr="00715199" w14:paraId="1DD6CEBB" w14:textId="77777777" w:rsidTr="00DA79D6">
        <w:tc>
          <w:tcPr>
            <w:tcW w:w="1268" w:type="pct"/>
            <w:hideMark/>
          </w:tcPr>
          <w:p w14:paraId="47F06E27"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Scale</w:t>
            </w:r>
          </w:p>
        </w:tc>
        <w:tc>
          <w:tcPr>
            <w:tcW w:w="1866" w:type="pct"/>
            <w:hideMark/>
          </w:tcPr>
          <w:p w14:paraId="6DBEB591"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Örneklem 1</w:t>
            </w:r>
          </w:p>
        </w:tc>
        <w:tc>
          <w:tcPr>
            <w:tcW w:w="1866" w:type="pct"/>
            <w:hideMark/>
          </w:tcPr>
          <w:p w14:paraId="48486EFE" w14:textId="77777777" w:rsidR="00DA79D6" w:rsidRPr="00715199" w:rsidRDefault="00DA79D6" w:rsidP="00715199">
            <w:pPr>
              <w:spacing w:after="0"/>
              <w:jc w:val="center"/>
              <w:rPr>
                <w:rFonts w:eastAsia="Times New Roman"/>
                <w:b/>
                <w:bCs/>
                <w:kern w:val="0"/>
                <w:sz w:val="20"/>
                <w:szCs w:val="20"/>
                <w:lang w:eastAsia="tr-TR"/>
                <w14:ligatures w14:val="none"/>
              </w:rPr>
            </w:pPr>
            <w:r w:rsidRPr="00715199">
              <w:rPr>
                <w:rFonts w:eastAsia="Times New Roman"/>
                <w:b/>
                <w:bCs/>
                <w:kern w:val="0"/>
                <w:sz w:val="20"/>
                <w:szCs w:val="20"/>
                <w:lang w:eastAsia="tr-TR"/>
                <w14:ligatures w14:val="none"/>
              </w:rPr>
              <w:t>Örneklem 2</w:t>
            </w:r>
          </w:p>
        </w:tc>
      </w:tr>
      <w:tr w:rsidR="00DA79D6" w:rsidRPr="00715199" w14:paraId="3949C3C4" w14:textId="77777777" w:rsidTr="00DA79D6">
        <w:tc>
          <w:tcPr>
            <w:tcW w:w="1268" w:type="pct"/>
            <w:hideMark/>
          </w:tcPr>
          <w:p w14:paraId="54C5A836"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Ölçek 1</w:t>
            </w:r>
          </w:p>
        </w:tc>
        <w:tc>
          <w:tcPr>
            <w:tcW w:w="1866" w:type="pct"/>
            <w:hideMark/>
          </w:tcPr>
          <w:p w14:paraId="3DD2F603"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1866" w:type="pct"/>
            <w:hideMark/>
          </w:tcPr>
          <w:p w14:paraId="6134951F"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r>
      <w:tr w:rsidR="00DA79D6" w:rsidRPr="00715199" w14:paraId="582AED91" w14:textId="77777777" w:rsidTr="00DA79D6">
        <w:tc>
          <w:tcPr>
            <w:tcW w:w="1268" w:type="pct"/>
            <w:hideMark/>
          </w:tcPr>
          <w:p w14:paraId="5DE8198E"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Ölçek 2</w:t>
            </w:r>
          </w:p>
        </w:tc>
        <w:tc>
          <w:tcPr>
            <w:tcW w:w="1866" w:type="pct"/>
            <w:hideMark/>
          </w:tcPr>
          <w:p w14:paraId="2C29573F"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1866" w:type="pct"/>
            <w:hideMark/>
          </w:tcPr>
          <w:p w14:paraId="4904CCA0"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r>
      <w:tr w:rsidR="00DA79D6" w:rsidRPr="00715199" w14:paraId="3033C38C" w14:textId="77777777" w:rsidTr="00DA79D6">
        <w:tc>
          <w:tcPr>
            <w:tcW w:w="1268" w:type="pct"/>
            <w:hideMark/>
          </w:tcPr>
          <w:p w14:paraId="01E8AC8B"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Ölçek 3</w:t>
            </w:r>
          </w:p>
        </w:tc>
        <w:tc>
          <w:tcPr>
            <w:tcW w:w="1866" w:type="pct"/>
            <w:hideMark/>
          </w:tcPr>
          <w:p w14:paraId="5630144E"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1866" w:type="pct"/>
            <w:hideMark/>
          </w:tcPr>
          <w:p w14:paraId="0D87DCF1"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r>
      <w:tr w:rsidR="00DA79D6" w:rsidRPr="00715199" w14:paraId="58A8A384" w14:textId="77777777" w:rsidTr="00DA79D6">
        <w:tc>
          <w:tcPr>
            <w:tcW w:w="1268" w:type="pct"/>
            <w:hideMark/>
          </w:tcPr>
          <w:p w14:paraId="4CE19BF7"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Ölçek 4</w:t>
            </w:r>
          </w:p>
        </w:tc>
        <w:tc>
          <w:tcPr>
            <w:tcW w:w="1866" w:type="pct"/>
            <w:hideMark/>
          </w:tcPr>
          <w:p w14:paraId="06291EDD"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c>
          <w:tcPr>
            <w:tcW w:w="1866" w:type="pct"/>
            <w:hideMark/>
          </w:tcPr>
          <w:p w14:paraId="7291A660" w14:textId="77777777" w:rsidR="00DA79D6" w:rsidRPr="00715199" w:rsidRDefault="00DA79D6" w:rsidP="00715199">
            <w:pPr>
              <w:spacing w:after="0"/>
              <w:jc w:val="left"/>
              <w:rPr>
                <w:rFonts w:eastAsia="Times New Roman"/>
                <w:kern w:val="0"/>
                <w:sz w:val="20"/>
                <w:szCs w:val="20"/>
                <w:lang w:eastAsia="tr-TR"/>
                <w14:ligatures w14:val="none"/>
              </w:rPr>
            </w:pPr>
            <w:r w:rsidRPr="00715199">
              <w:rPr>
                <w:rFonts w:eastAsia="Times New Roman"/>
                <w:kern w:val="0"/>
                <w:sz w:val="20"/>
                <w:szCs w:val="20"/>
                <w:lang w:eastAsia="tr-TR"/>
                <w14:ligatures w14:val="none"/>
              </w:rPr>
              <w:t>xxx</w:t>
            </w:r>
          </w:p>
        </w:tc>
      </w:tr>
    </w:tbl>
    <w:p w14:paraId="64DC6D26" w14:textId="7582DC8F" w:rsidR="00DA79D6" w:rsidRPr="00715199" w:rsidRDefault="00DA79D6" w:rsidP="00715199">
      <w:pPr>
        <w:spacing w:after="0" w:line="360" w:lineRule="auto"/>
        <w:rPr>
          <w:sz w:val="22"/>
          <w:szCs w:val="22"/>
          <w:lang w:val="en-US"/>
        </w:rPr>
      </w:pPr>
      <w:r w:rsidRPr="00715199">
        <w:rPr>
          <w:i/>
          <w:iCs/>
          <w:sz w:val="22"/>
          <w:szCs w:val="22"/>
          <w:lang w:val="en-US"/>
        </w:rPr>
        <w:t>Note.</w:t>
      </w:r>
      <w:r w:rsidRPr="00715199">
        <w:rPr>
          <w:sz w:val="22"/>
          <w:szCs w:val="22"/>
          <w:lang w:val="en-US"/>
        </w:rPr>
        <w:t xml:space="preserve"> </w:t>
      </w:r>
    </w:p>
    <w:p w14:paraId="75B1F5B5" w14:textId="761D25B4" w:rsidR="00DA79D6" w:rsidRPr="00715199" w:rsidRDefault="00DA79D6" w:rsidP="00715199">
      <w:pPr>
        <w:spacing w:after="0" w:line="360" w:lineRule="auto"/>
        <w:rPr>
          <w:sz w:val="22"/>
          <w:szCs w:val="22"/>
          <w:lang w:val="en-US"/>
        </w:rPr>
      </w:pPr>
      <w:r w:rsidRPr="00715199">
        <w:rPr>
          <w:sz w:val="22"/>
          <w:szCs w:val="22"/>
          <w:lang w:val="en-US"/>
        </w:rPr>
        <w:t xml:space="preserve">Pearson correlation analyses were conducted to examine the relationships among variables, and the results are presented in Table 5. Analysis results revealed that there were positive and significant relationships among perceived stigma, internalized homophobia, and sexual identity stress variables in </w:t>
      </w:r>
      <w:r w:rsidRPr="00715199">
        <w:rPr>
          <w:sz w:val="22"/>
          <w:szCs w:val="22"/>
          <w:lang w:val="en-US"/>
        </w:rPr>
        <w:lastRenderedPageBreak/>
        <w:t xml:space="preserve">both samples. The strongest relationship was observed between internalized homophobia and sexual identity stress (USA: </w:t>
      </w:r>
      <w:r w:rsidRPr="00715199">
        <w:rPr>
          <w:i/>
          <w:iCs/>
          <w:sz w:val="22"/>
          <w:szCs w:val="22"/>
          <w:lang w:val="en-US"/>
        </w:rPr>
        <w:t>r</w:t>
      </w:r>
      <w:r w:rsidRPr="00715199">
        <w:rPr>
          <w:sz w:val="22"/>
          <w:szCs w:val="22"/>
          <w:lang w:val="en-US"/>
        </w:rPr>
        <w:t xml:space="preserve"> = .529, </w:t>
      </w:r>
      <w:r w:rsidRPr="00715199">
        <w:rPr>
          <w:i/>
          <w:iCs/>
          <w:sz w:val="22"/>
          <w:szCs w:val="22"/>
          <w:lang w:val="en-US"/>
        </w:rPr>
        <w:t>p</w:t>
      </w:r>
      <w:r w:rsidRPr="00715199">
        <w:rPr>
          <w:sz w:val="22"/>
          <w:szCs w:val="22"/>
          <w:lang w:val="en-US"/>
        </w:rPr>
        <w:t xml:space="preserve"> &lt; .001; Turkey: </w:t>
      </w:r>
      <w:r w:rsidRPr="00715199">
        <w:rPr>
          <w:i/>
          <w:iCs/>
          <w:sz w:val="22"/>
          <w:szCs w:val="22"/>
          <w:lang w:val="en-US"/>
        </w:rPr>
        <w:t>r</w:t>
      </w:r>
      <w:r w:rsidRPr="00715199">
        <w:rPr>
          <w:sz w:val="22"/>
          <w:szCs w:val="22"/>
          <w:lang w:val="en-US"/>
        </w:rPr>
        <w:t xml:space="preserve"> = .610, </w:t>
      </w:r>
      <w:r w:rsidRPr="00715199">
        <w:rPr>
          <w:i/>
          <w:iCs/>
          <w:sz w:val="22"/>
          <w:szCs w:val="22"/>
          <w:lang w:val="en-US"/>
        </w:rPr>
        <w:t>p</w:t>
      </w:r>
      <w:r w:rsidRPr="00715199">
        <w:rPr>
          <w:sz w:val="22"/>
          <w:szCs w:val="22"/>
          <w:lang w:val="en-US"/>
        </w:rPr>
        <w:t xml:space="preserve"> &lt; .001). Additionally, while negative and significant relationships were detected between LGBT community connectedness and sexual identity stress (USA: </w:t>
      </w:r>
      <w:r w:rsidRPr="00715199">
        <w:rPr>
          <w:i/>
          <w:iCs/>
          <w:sz w:val="22"/>
          <w:szCs w:val="22"/>
          <w:lang w:val="en-US"/>
        </w:rPr>
        <w:t>r</w:t>
      </w:r>
      <w:r w:rsidRPr="00715199">
        <w:rPr>
          <w:sz w:val="22"/>
          <w:szCs w:val="22"/>
          <w:lang w:val="en-US"/>
        </w:rPr>
        <w:t xml:space="preserve"> = -.280, </w:t>
      </w:r>
      <w:r w:rsidRPr="00715199">
        <w:rPr>
          <w:i/>
          <w:iCs/>
          <w:sz w:val="22"/>
          <w:szCs w:val="22"/>
          <w:lang w:val="en-US"/>
        </w:rPr>
        <w:t>p</w:t>
      </w:r>
      <w:r w:rsidRPr="00715199">
        <w:rPr>
          <w:sz w:val="22"/>
          <w:szCs w:val="22"/>
          <w:lang w:val="en-US"/>
        </w:rPr>
        <w:t xml:space="preserve"> &lt; .001; Turkey: </w:t>
      </w:r>
      <w:r w:rsidRPr="00715199">
        <w:rPr>
          <w:i/>
          <w:iCs/>
          <w:sz w:val="22"/>
          <w:szCs w:val="22"/>
          <w:lang w:val="en-US"/>
        </w:rPr>
        <w:t>r</w:t>
      </w:r>
      <w:r w:rsidRPr="00715199">
        <w:rPr>
          <w:sz w:val="22"/>
          <w:szCs w:val="22"/>
          <w:lang w:val="en-US"/>
        </w:rPr>
        <w:t xml:space="preserve"> = -.216, </w:t>
      </w:r>
      <w:r w:rsidRPr="00715199">
        <w:rPr>
          <w:i/>
          <w:iCs/>
          <w:sz w:val="22"/>
          <w:szCs w:val="22"/>
          <w:lang w:val="en-US"/>
        </w:rPr>
        <w:t>p</w:t>
      </w:r>
      <w:r w:rsidRPr="00715199">
        <w:rPr>
          <w:sz w:val="22"/>
          <w:szCs w:val="22"/>
          <w:lang w:val="en-US"/>
        </w:rPr>
        <w:t xml:space="preserve"> &lt; .001), no significant relationships were observed between LGBT community connectedness and perceived stigma and internalized homophobia. On the other hand, Fisher's Z transformation was applied to test the cross-sample difference in correlation coefficients. Analysis results showed that there was no statistically significant difference between correlation coefficients for any of the variable pairs (all </w:t>
      </w:r>
      <w:r w:rsidRPr="00715199">
        <w:rPr>
          <w:i/>
          <w:iCs/>
          <w:sz w:val="22"/>
          <w:szCs w:val="22"/>
          <w:lang w:val="en-US"/>
        </w:rPr>
        <w:t>p</w:t>
      </w:r>
      <w:r w:rsidRPr="00715199">
        <w:rPr>
          <w:sz w:val="22"/>
          <w:szCs w:val="22"/>
          <w:lang w:val="en-US"/>
        </w:rPr>
        <w:t xml:space="preserve"> &gt; .05). These findings indicate that the pattern of relationships among variables operates similarly in both cultural contexts.</w:t>
      </w:r>
    </w:p>
    <w:p w14:paraId="0D3CA95D" w14:textId="53B6B19D" w:rsidR="00DA79D6" w:rsidRPr="00715199" w:rsidRDefault="00DA79D6" w:rsidP="00715199">
      <w:pPr>
        <w:pStyle w:val="ResimYazs"/>
        <w:keepNext/>
        <w:spacing w:after="0" w:line="360" w:lineRule="auto"/>
        <w:rPr>
          <w:i w:val="0"/>
          <w:iCs w:val="0"/>
          <w:color w:val="auto"/>
          <w:sz w:val="22"/>
          <w:szCs w:val="22"/>
          <w:lang w:val="en-US"/>
        </w:rPr>
      </w:pPr>
      <w:r w:rsidRPr="00715199">
        <w:rPr>
          <w:b/>
          <w:bCs/>
          <w:i w:val="0"/>
          <w:iCs w:val="0"/>
          <w:color w:val="auto"/>
          <w:sz w:val="22"/>
          <w:szCs w:val="22"/>
          <w:lang w:val="en-US"/>
        </w:rPr>
        <w:t xml:space="preserve">Table </w:t>
      </w:r>
      <w:r w:rsidRPr="00715199">
        <w:rPr>
          <w:b/>
          <w:bCs/>
          <w:i w:val="0"/>
          <w:iCs w:val="0"/>
          <w:color w:val="auto"/>
          <w:sz w:val="22"/>
          <w:szCs w:val="22"/>
          <w:lang w:val="en-US"/>
        </w:rPr>
        <w:fldChar w:fldCharType="begin"/>
      </w:r>
      <w:r w:rsidRPr="00715199">
        <w:rPr>
          <w:b/>
          <w:bCs/>
          <w:i w:val="0"/>
          <w:iCs w:val="0"/>
          <w:color w:val="auto"/>
          <w:sz w:val="22"/>
          <w:szCs w:val="22"/>
          <w:lang w:val="en-US"/>
        </w:rPr>
        <w:instrText xml:space="preserve"> SEQ Table \* ARABIC </w:instrText>
      </w:r>
      <w:r w:rsidRPr="00715199">
        <w:rPr>
          <w:b/>
          <w:bCs/>
          <w:i w:val="0"/>
          <w:iCs w:val="0"/>
          <w:color w:val="auto"/>
          <w:sz w:val="22"/>
          <w:szCs w:val="22"/>
          <w:lang w:val="en-US"/>
        </w:rPr>
        <w:fldChar w:fldCharType="separate"/>
      </w:r>
      <w:r w:rsidRPr="00715199">
        <w:rPr>
          <w:b/>
          <w:bCs/>
          <w:i w:val="0"/>
          <w:iCs w:val="0"/>
          <w:noProof/>
          <w:color w:val="auto"/>
          <w:sz w:val="22"/>
          <w:szCs w:val="22"/>
          <w:lang w:val="en-US"/>
        </w:rPr>
        <w:t>4</w:t>
      </w:r>
      <w:r w:rsidRPr="00715199">
        <w:rPr>
          <w:b/>
          <w:bCs/>
          <w:i w:val="0"/>
          <w:iCs w:val="0"/>
          <w:color w:val="auto"/>
          <w:sz w:val="22"/>
          <w:szCs w:val="22"/>
          <w:lang w:val="en-US"/>
        </w:rPr>
        <w:fldChar w:fldCharType="end"/>
      </w:r>
      <w:r w:rsidRPr="00715199">
        <w:rPr>
          <w:i w:val="0"/>
          <w:iCs w:val="0"/>
          <w:color w:val="auto"/>
          <w:sz w:val="22"/>
          <w:szCs w:val="22"/>
          <w:lang w:val="en-US"/>
        </w:rPr>
        <w:t xml:space="preserve"> Correlations among variables and cross-sample comparison</w:t>
      </w:r>
    </w:p>
    <w:tbl>
      <w:tblPr>
        <w:tblStyle w:val="TabloKlavuzu"/>
        <w:tblW w:w="5000" w:type="pct"/>
        <w:tblLook w:val="04A0" w:firstRow="1" w:lastRow="0" w:firstColumn="1" w:lastColumn="0" w:noHBand="0" w:noVBand="1"/>
      </w:tblPr>
      <w:tblGrid>
        <w:gridCol w:w="3404"/>
        <w:gridCol w:w="2121"/>
        <w:gridCol w:w="2121"/>
        <w:gridCol w:w="709"/>
        <w:gridCol w:w="707"/>
      </w:tblGrid>
      <w:tr w:rsidR="00DA79D6" w:rsidRPr="00715199" w14:paraId="7164B3C4" w14:textId="77777777" w:rsidTr="00DA79D6">
        <w:tc>
          <w:tcPr>
            <w:tcW w:w="1879" w:type="pct"/>
            <w:hideMark/>
          </w:tcPr>
          <w:p w14:paraId="082A54EE"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Variable Pair</w:t>
            </w:r>
          </w:p>
        </w:tc>
        <w:tc>
          <w:tcPr>
            <w:tcW w:w="1170" w:type="pct"/>
            <w:hideMark/>
          </w:tcPr>
          <w:p w14:paraId="5B08EB3A"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r (Örneklem 1)</w:t>
            </w:r>
          </w:p>
        </w:tc>
        <w:tc>
          <w:tcPr>
            <w:tcW w:w="1170" w:type="pct"/>
            <w:hideMark/>
          </w:tcPr>
          <w:p w14:paraId="0034F5D4"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r (Örneklem 2)</w:t>
            </w:r>
          </w:p>
        </w:tc>
        <w:tc>
          <w:tcPr>
            <w:tcW w:w="391" w:type="pct"/>
            <w:hideMark/>
          </w:tcPr>
          <w:p w14:paraId="0AC76CC2"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Z</w:t>
            </w:r>
          </w:p>
        </w:tc>
        <w:tc>
          <w:tcPr>
            <w:tcW w:w="391" w:type="pct"/>
            <w:hideMark/>
          </w:tcPr>
          <w:p w14:paraId="1FA3FE6F"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p</w:t>
            </w:r>
          </w:p>
        </w:tc>
      </w:tr>
      <w:tr w:rsidR="00DA79D6" w:rsidRPr="00715199" w14:paraId="7B07C559" w14:textId="77777777" w:rsidTr="00DA79D6">
        <w:tc>
          <w:tcPr>
            <w:tcW w:w="1879" w:type="pct"/>
            <w:hideMark/>
          </w:tcPr>
          <w:p w14:paraId="3F5153C9"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A ↔ Değişken B</w:t>
            </w:r>
          </w:p>
        </w:tc>
        <w:tc>
          <w:tcPr>
            <w:tcW w:w="1170" w:type="pct"/>
            <w:hideMark/>
          </w:tcPr>
          <w:p w14:paraId="2E08258E"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170" w:type="pct"/>
            <w:hideMark/>
          </w:tcPr>
          <w:p w14:paraId="099582C5"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391" w:type="pct"/>
            <w:hideMark/>
          </w:tcPr>
          <w:p w14:paraId="47C66C4C"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391" w:type="pct"/>
            <w:hideMark/>
          </w:tcPr>
          <w:p w14:paraId="22358A4F"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4960ECBD" w14:textId="77777777" w:rsidTr="00DA79D6">
        <w:tc>
          <w:tcPr>
            <w:tcW w:w="1879" w:type="pct"/>
            <w:hideMark/>
          </w:tcPr>
          <w:p w14:paraId="742AE090"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A ↔ Değişken C</w:t>
            </w:r>
          </w:p>
        </w:tc>
        <w:tc>
          <w:tcPr>
            <w:tcW w:w="1170" w:type="pct"/>
            <w:hideMark/>
          </w:tcPr>
          <w:p w14:paraId="2BF5F078"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170" w:type="pct"/>
            <w:hideMark/>
          </w:tcPr>
          <w:p w14:paraId="151704B0"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391" w:type="pct"/>
            <w:hideMark/>
          </w:tcPr>
          <w:p w14:paraId="2F1B864A"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391" w:type="pct"/>
            <w:hideMark/>
          </w:tcPr>
          <w:p w14:paraId="4DFBA11E"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4504E71F" w14:textId="77777777" w:rsidTr="00DA79D6">
        <w:tc>
          <w:tcPr>
            <w:tcW w:w="1879" w:type="pct"/>
            <w:hideMark/>
          </w:tcPr>
          <w:p w14:paraId="2666FDA1"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B ↔ Değişken C</w:t>
            </w:r>
          </w:p>
        </w:tc>
        <w:tc>
          <w:tcPr>
            <w:tcW w:w="1170" w:type="pct"/>
            <w:hideMark/>
          </w:tcPr>
          <w:p w14:paraId="581CE3B3"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170" w:type="pct"/>
            <w:hideMark/>
          </w:tcPr>
          <w:p w14:paraId="67583E8A"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391" w:type="pct"/>
            <w:hideMark/>
          </w:tcPr>
          <w:p w14:paraId="3F641F48"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391" w:type="pct"/>
            <w:hideMark/>
          </w:tcPr>
          <w:p w14:paraId="7F10DD40"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bl>
    <w:p w14:paraId="6C22BE93" w14:textId="5DBF3ED0" w:rsidR="00DA79D6" w:rsidRPr="00715199" w:rsidRDefault="00DA79D6" w:rsidP="00715199">
      <w:pPr>
        <w:spacing w:after="0" w:line="360" w:lineRule="auto"/>
        <w:rPr>
          <w:sz w:val="22"/>
          <w:szCs w:val="22"/>
          <w:lang w:val="en-US"/>
        </w:rPr>
      </w:pPr>
      <w:r w:rsidRPr="00715199">
        <w:rPr>
          <w:i/>
          <w:iCs/>
          <w:sz w:val="22"/>
          <w:szCs w:val="22"/>
          <w:lang w:val="en-US"/>
        </w:rPr>
        <w:t>Note.</w:t>
      </w:r>
      <w:r w:rsidRPr="00715199">
        <w:rPr>
          <w:sz w:val="22"/>
          <w:szCs w:val="22"/>
          <w:lang w:val="en-US"/>
        </w:rPr>
        <w:t xml:space="preserve"> PS = </w:t>
      </w:r>
      <w:r w:rsidR="00120EE4" w:rsidRPr="00715199">
        <w:rPr>
          <w:sz w:val="22"/>
          <w:szCs w:val="22"/>
          <w:lang w:val="en-US"/>
        </w:rPr>
        <w:t>….</w:t>
      </w:r>
    </w:p>
    <w:p w14:paraId="0BF6079D" w14:textId="77777777" w:rsidR="00DA79D6" w:rsidRPr="00715199" w:rsidRDefault="00DA79D6" w:rsidP="00715199">
      <w:pPr>
        <w:pStyle w:val="Balk2"/>
        <w:spacing w:before="0" w:after="0" w:line="360" w:lineRule="auto"/>
        <w:rPr>
          <w:rFonts w:ascii="Times New Roman" w:hAnsi="Times New Roman" w:cs="Times New Roman"/>
          <w:b/>
          <w:bCs/>
          <w:color w:val="000000" w:themeColor="text1"/>
          <w:sz w:val="22"/>
          <w:szCs w:val="22"/>
        </w:rPr>
      </w:pPr>
      <w:r w:rsidRPr="00715199">
        <w:rPr>
          <w:rFonts w:ascii="Times New Roman" w:hAnsi="Times New Roman" w:cs="Times New Roman"/>
          <w:b/>
          <w:bCs/>
          <w:color w:val="000000" w:themeColor="text1"/>
          <w:sz w:val="22"/>
          <w:szCs w:val="22"/>
        </w:rPr>
        <w:t>Structural Equation Model Analyses</w:t>
      </w:r>
    </w:p>
    <w:p w14:paraId="19B77331" w14:textId="5E641D7F" w:rsidR="00DA79D6" w:rsidRPr="00715199" w:rsidRDefault="00DA79D6" w:rsidP="00715199">
      <w:pPr>
        <w:spacing w:after="0" w:line="360" w:lineRule="auto"/>
        <w:rPr>
          <w:sz w:val="22"/>
          <w:szCs w:val="22"/>
          <w:lang w:val="en-US"/>
        </w:rPr>
      </w:pPr>
      <w:r w:rsidRPr="00715199">
        <w:rPr>
          <w:sz w:val="22"/>
          <w:szCs w:val="22"/>
          <w:lang w:val="en-US"/>
        </w:rPr>
        <w:t>The structural equation model constructed to test the research hypotheses was found to meet the proposed goodness-of-fit criteria (χ²/</w:t>
      </w:r>
      <w:r w:rsidRPr="00715199">
        <w:rPr>
          <w:i/>
          <w:iCs/>
          <w:sz w:val="22"/>
          <w:szCs w:val="22"/>
          <w:lang w:val="en-US"/>
        </w:rPr>
        <w:t>df</w:t>
      </w:r>
      <w:r w:rsidRPr="00715199">
        <w:rPr>
          <w:sz w:val="22"/>
          <w:szCs w:val="22"/>
          <w:lang w:val="en-US"/>
        </w:rPr>
        <w:t xml:space="preserve"> = 1.039; CFI = .996; TLI = .995; RMSEA = .009). Structural equation model results are presented in Table 6.</w:t>
      </w:r>
    </w:p>
    <w:p w14:paraId="33B5E829" w14:textId="5D88A663" w:rsidR="00DA79D6" w:rsidRPr="00715199" w:rsidRDefault="00DA79D6" w:rsidP="00715199">
      <w:pPr>
        <w:pStyle w:val="ResimYazs"/>
        <w:keepNext/>
        <w:spacing w:after="0" w:line="360" w:lineRule="auto"/>
        <w:rPr>
          <w:i w:val="0"/>
          <w:iCs w:val="0"/>
          <w:color w:val="auto"/>
          <w:sz w:val="22"/>
          <w:szCs w:val="22"/>
          <w:lang w:val="en-US"/>
        </w:rPr>
      </w:pPr>
      <w:r w:rsidRPr="00715199">
        <w:rPr>
          <w:b/>
          <w:bCs/>
          <w:i w:val="0"/>
          <w:iCs w:val="0"/>
          <w:color w:val="auto"/>
          <w:sz w:val="22"/>
          <w:szCs w:val="22"/>
          <w:lang w:val="en-US"/>
        </w:rPr>
        <w:t xml:space="preserve">Table </w:t>
      </w:r>
      <w:r w:rsidRPr="00715199">
        <w:rPr>
          <w:b/>
          <w:bCs/>
          <w:i w:val="0"/>
          <w:iCs w:val="0"/>
          <w:color w:val="auto"/>
          <w:sz w:val="22"/>
          <w:szCs w:val="22"/>
          <w:lang w:val="en-US"/>
        </w:rPr>
        <w:fldChar w:fldCharType="begin"/>
      </w:r>
      <w:r w:rsidRPr="00715199">
        <w:rPr>
          <w:b/>
          <w:bCs/>
          <w:i w:val="0"/>
          <w:iCs w:val="0"/>
          <w:color w:val="auto"/>
          <w:sz w:val="22"/>
          <w:szCs w:val="22"/>
          <w:lang w:val="en-US"/>
        </w:rPr>
        <w:instrText xml:space="preserve"> SEQ Table \* ARABIC </w:instrText>
      </w:r>
      <w:r w:rsidRPr="00715199">
        <w:rPr>
          <w:b/>
          <w:bCs/>
          <w:i w:val="0"/>
          <w:iCs w:val="0"/>
          <w:color w:val="auto"/>
          <w:sz w:val="22"/>
          <w:szCs w:val="22"/>
          <w:lang w:val="en-US"/>
        </w:rPr>
        <w:fldChar w:fldCharType="separate"/>
      </w:r>
      <w:r w:rsidRPr="00715199">
        <w:rPr>
          <w:b/>
          <w:bCs/>
          <w:i w:val="0"/>
          <w:iCs w:val="0"/>
          <w:noProof/>
          <w:color w:val="auto"/>
          <w:sz w:val="22"/>
          <w:szCs w:val="22"/>
          <w:lang w:val="en-US"/>
        </w:rPr>
        <w:t>5</w:t>
      </w:r>
      <w:r w:rsidRPr="00715199">
        <w:rPr>
          <w:b/>
          <w:bCs/>
          <w:i w:val="0"/>
          <w:iCs w:val="0"/>
          <w:color w:val="auto"/>
          <w:sz w:val="22"/>
          <w:szCs w:val="22"/>
          <w:lang w:val="en-US"/>
        </w:rPr>
        <w:fldChar w:fldCharType="end"/>
      </w:r>
      <w:r w:rsidRPr="00715199">
        <w:rPr>
          <w:i w:val="0"/>
          <w:iCs w:val="0"/>
          <w:color w:val="auto"/>
          <w:sz w:val="22"/>
          <w:szCs w:val="22"/>
          <w:lang w:val="en-US"/>
        </w:rPr>
        <w:t xml:space="preserve"> Structural equation model results</w:t>
      </w:r>
    </w:p>
    <w:tbl>
      <w:tblPr>
        <w:tblStyle w:val="TabloKlavuzu"/>
        <w:tblW w:w="5000" w:type="pct"/>
        <w:tblLook w:val="04A0" w:firstRow="1" w:lastRow="0" w:firstColumn="1" w:lastColumn="0" w:noHBand="0" w:noVBand="1"/>
      </w:tblPr>
      <w:tblGrid>
        <w:gridCol w:w="5428"/>
        <w:gridCol w:w="1818"/>
        <w:gridCol w:w="1816"/>
      </w:tblGrid>
      <w:tr w:rsidR="00DA79D6" w:rsidRPr="00715199" w14:paraId="40644164" w14:textId="77777777" w:rsidTr="00DA79D6">
        <w:tc>
          <w:tcPr>
            <w:tcW w:w="2995" w:type="pct"/>
            <w:hideMark/>
          </w:tcPr>
          <w:p w14:paraId="691AD259"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Path</w:t>
            </w:r>
          </w:p>
        </w:tc>
        <w:tc>
          <w:tcPr>
            <w:tcW w:w="1003" w:type="pct"/>
            <w:hideMark/>
          </w:tcPr>
          <w:p w14:paraId="45049B4B"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Örneklem 1</w:t>
            </w:r>
          </w:p>
        </w:tc>
        <w:tc>
          <w:tcPr>
            <w:tcW w:w="1003" w:type="pct"/>
            <w:hideMark/>
          </w:tcPr>
          <w:p w14:paraId="5CC6597F"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Örneklem 2</w:t>
            </w:r>
          </w:p>
        </w:tc>
      </w:tr>
      <w:tr w:rsidR="00DA79D6" w:rsidRPr="00715199" w14:paraId="69D8B716" w14:textId="77777777" w:rsidTr="00DA79D6">
        <w:tc>
          <w:tcPr>
            <w:tcW w:w="2995" w:type="pct"/>
            <w:hideMark/>
          </w:tcPr>
          <w:p w14:paraId="612D7484"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A → Değişken C</w:t>
            </w:r>
          </w:p>
        </w:tc>
        <w:tc>
          <w:tcPr>
            <w:tcW w:w="1003" w:type="pct"/>
            <w:hideMark/>
          </w:tcPr>
          <w:p w14:paraId="27DBC7F8"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03" w:type="pct"/>
            <w:hideMark/>
          </w:tcPr>
          <w:p w14:paraId="35932AAB"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18CF0DA0" w14:textId="77777777" w:rsidTr="00DA79D6">
        <w:tc>
          <w:tcPr>
            <w:tcW w:w="2995" w:type="pct"/>
            <w:hideMark/>
          </w:tcPr>
          <w:p w14:paraId="39F4C672"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A → Değişken B</w:t>
            </w:r>
          </w:p>
        </w:tc>
        <w:tc>
          <w:tcPr>
            <w:tcW w:w="1003" w:type="pct"/>
            <w:hideMark/>
          </w:tcPr>
          <w:p w14:paraId="7E6DDC20"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03" w:type="pct"/>
            <w:hideMark/>
          </w:tcPr>
          <w:p w14:paraId="57A2BA39"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578108A5" w14:textId="77777777" w:rsidTr="00DA79D6">
        <w:tc>
          <w:tcPr>
            <w:tcW w:w="2995" w:type="pct"/>
            <w:hideMark/>
          </w:tcPr>
          <w:p w14:paraId="5A4A82B3"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B → Değişken C</w:t>
            </w:r>
          </w:p>
        </w:tc>
        <w:tc>
          <w:tcPr>
            <w:tcW w:w="1003" w:type="pct"/>
            <w:hideMark/>
          </w:tcPr>
          <w:p w14:paraId="7784E31E"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03" w:type="pct"/>
            <w:hideMark/>
          </w:tcPr>
          <w:p w14:paraId="4009EAC9"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22AA6C34" w14:textId="77777777" w:rsidTr="00DA79D6">
        <w:tc>
          <w:tcPr>
            <w:tcW w:w="2995" w:type="pct"/>
            <w:hideMark/>
          </w:tcPr>
          <w:p w14:paraId="0C3583CD"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A → Değişken B → Değişken C</w:t>
            </w:r>
          </w:p>
        </w:tc>
        <w:tc>
          <w:tcPr>
            <w:tcW w:w="1003" w:type="pct"/>
            <w:hideMark/>
          </w:tcPr>
          <w:p w14:paraId="7C0E0B7D"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03" w:type="pct"/>
            <w:hideMark/>
          </w:tcPr>
          <w:p w14:paraId="41DBA735"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27163375" w14:textId="77777777" w:rsidTr="00DA79D6">
        <w:tc>
          <w:tcPr>
            <w:tcW w:w="2995" w:type="pct"/>
            <w:hideMark/>
          </w:tcPr>
          <w:p w14:paraId="7F05D975"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D → Değişken C</w:t>
            </w:r>
          </w:p>
        </w:tc>
        <w:tc>
          <w:tcPr>
            <w:tcW w:w="1003" w:type="pct"/>
            <w:hideMark/>
          </w:tcPr>
          <w:p w14:paraId="1E746427"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03" w:type="pct"/>
            <w:hideMark/>
          </w:tcPr>
          <w:p w14:paraId="7232EF60"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3DBB0F1D" w14:textId="77777777" w:rsidTr="00DA79D6">
        <w:tc>
          <w:tcPr>
            <w:tcW w:w="2995" w:type="pct"/>
            <w:hideMark/>
          </w:tcPr>
          <w:p w14:paraId="19C0D377"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Etkileşim Terimi → Değişken C</w:t>
            </w:r>
          </w:p>
        </w:tc>
        <w:tc>
          <w:tcPr>
            <w:tcW w:w="1003" w:type="pct"/>
            <w:hideMark/>
          </w:tcPr>
          <w:p w14:paraId="157D4C68"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03" w:type="pct"/>
            <w:hideMark/>
          </w:tcPr>
          <w:p w14:paraId="02E8F2E6"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bl>
    <w:p w14:paraId="38E6EC4A" w14:textId="0CD9A2B5" w:rsidR="00DA79D6" w:rsidRPr="00715199" w:rsidRDefault="00DA79D6" w:rsidP="00715199">
      <w:pPr>
        <w:spacing w:after="0" w:line="360" w:lineRule="auto"/>
        <w:rPr>
          <w:sz w:val="22"/>
          <w:szCs w:val="22"/>
          <w:lang w:val="en-US"/>
        </w:rPr>
      </w:pPr>
      <w:r w:rsidRPr="00715199">
        <w:rPr>
          <w:i/>
          <w:iCs/>
          <w:sz w:val="22"/>
          <w:szCs w:val="22"/>
          <w:lang w:val="en-US"/>
        </w:rPr>
        <w:t>Note.</w:t>
      </w:r>
      <w:r w:rsidRPr="00715199">
        <w:rPr>
          <w:sz w:val="22"/>
          <w:szCs w:val="22"/>
          <w:lang w:val="en-US"/>
        </w:rPr>
        <w:t xml:space="preserve"> PS = </w:t>
      </w:r>
      <w:r w:rsidR="00120EE4" w:rsidRPr="00715199">
        <w:rPr>
          <w:sz w:val="22"/>
          <w:szCs w:val="22"/>
          <w:lang w:val="en-US"/>
        </w:rPr>
        <w:t>….</w:t>
      </w:r>
    </w:p>
    <w:p w14:paraId="0E039619" w14:textId="77777777" w:rsidR="00DA79D6" w:rsidRPr="00715199" w:rsidRDefault="00DA79D6" w:rsidP="00715199">
      <w:pPr>
        <w:pStyle w:val="ResimYazs"/>
        <w:keepNext/>
        <w:spacing w:after="0" w:line="360" w:lineRule="auto"/>
        <w:rPr>
          <w:i w:val="0"/>
          <w:iCs w:val="0"/>
          <w:color w:val="auto"/>
          <w:sz w:val="22"/>
          <w:szCs w:val="22"/>
          <w:lang w:val="en-US"/>
        </w:rPr>
      </w:pPr>
      <w:r w:rsidRPr="00715199">
        <w:rPr>
          <w:b/>
          <w:bCs/>
          <w:i w:val="0"/>
          <w:iCs w:val="0"/>
          <w:color w:val="auto"/>
          <w:sz w:val="22"/>
          <w:szCs w:val="22"/>
          <w:lang w:val="en-US"/>
        </w:rPr>
        <w:t xml:space="preserve">Table </w:t>
      </w:r>
      <w:r w:rsidRPr="00715199">
        <w:rPr>
          <w:b/>
          <w:bCs/>
          <w:i w:val="0"/>
          <w:iCs w:val="0"/>
          <w:color w:val="auto"/>
          <w:sz w:val="22"/>
          <w:szCs w:val="22"/>
          <w:lang w:val="en-US"/>
        </w:rPr>
        <w:fldChar w:fldCharType="begin"/>
      </w:r>
      <w:r w:rsidRPr="00715199">
        <w:rPr>
          <w:b/>
          <w:bCs/>
          <w:i w:val="0"/>
          <w:iCs w:val="0"/>
          <w:color w:val="auto"/>
          <w:sz w:val="22"/>
          <w:szCs w:val="22"/>
          <w:lang w:val="en-US"/>
        </w:rPr>
        <w:instrText xml:space="preserve"> SEQ Table \* ARABIC </w:instrText>
      </w:r>
      <w:r w:rsidRPr="00715199">
        <w:rPr>
          <w:b/>
          <w:bCs/>
          <w:i w:val="0"/>
          <w:iCs w:val="0"/>
          <w:color w:val="auto"/>
          <w:sz w:val="22"/>
          <w:szCs w:val="22"/>
          <w:lang w:val="en-US"/>
        </w:rPr>
        <w:fldChar w:fldCharType="separate"/>
      </w:r>
      <w:r w:rsidRPr="00715199">
        <w:rPr>
          <w:b/>
          <w:bCs/>
          <w:i w:val="0"/>
          <w:iCs w:val="0"/>
          <w:noProof/>
          <w:color w:val="auto"/>
          <w:sz w:val="22"/>
          <w:szCs w:val="22"/>
          <w:lang w:val="en-US"/>
        </w:rPr>
        <w:t>6</w:t>
      </w:r>
      <w:r w:rsidRPr="00715199">
        <w:rPr>
          <w:b/>
          <w:bCs/>
          <w:i w:val="0"/>
          <w:iCs w:val="0"/>
          <w:color w:val="auto"/>
          <w:sz w:val="22"/>
          <w:szCs w:val="22"/>
          <w:lang w:val="en-US"/>
        </w:rPr>
        <w:fldChar w:fldCharType="end"/>
      </w:r>
      <w:r w:rsidRPr="00715199">
        <w:rPr>
          <w:i w:val="0"/>
          <w:iCs w:val="0"/>
          <w:color w:val="auto"/>
          <w:sz w:val="22"/>
          <w:szCs w:val="22"/>
          <w:lang w:val="en-US"/>
        </w:rPr>
        <w:t xml:space="preserve"> Multi-group comparison</w:t>
      </w:r>
    </w:p>
    <w:tbl>
      <w:tblPr>
        <w:tblStyle w:val="TabloKlavuzu"/>
        <w:tblW w:w="5000" w:type="pct"/>
        <w:tblLook w:val="04A0" w:firstRow="1" w:lastRow="0" w:firstColumn="1" w:lastColumn="0" w:noHBand="0" w:noVBand="1"/>
      </w:tblPr>
      <w:tblGrid>
        <w:gridCol w:w="3725"/>
        <w:gridCol w:w="1895"/>
        <w:gridCol w:w="1894"/>
        <w:gridCol w:w="774"/>
        <w:gridCol w:w="774"/>
      </w:tblGrid>
      <w:tr w:rsidR="00DA79D6" w:rsidRPr="00715199" w14:paraId="3C9A89E5" w14:textId="77777777" w:rsidTr="00DA79D6">
        <w:tc>
          <w:tcPr>
            <w:tcW w:w="2054" w:type="pct"/>
            <w:hideMark/>
          </w:tcPr>
          <w:p w14:paraId="2CF033AE"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Path</w:t>
            </w:r>
          </w:p>
        </w:tc>
        <w:tc>
          <w:tcPr>
            <w:tcW w:w="1045" w:type="pct"/>
            <w:hideMark/>
          </w:tcPr>
          <w:p w14:paraId="15FB77A6"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Örneklem 1</w:t>
            </w:r>
          </w:p>
        </w:tc>
        <w:tc>
          <w:tcPr>
            <w:tcW w:w="1045" w:type="pct"/>
            <w:hideMark/>
          </w:tcPr>
          <w:p w14:paraId="6B29E22F"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Örneklem 2</w:t>
            </w:r>
          </w:p>
        </w:tc>
        <w:tc>
          <w:tcPr>
            <w:tcW w:w="427" w:type="pct"/>
            <w:hideMark/>
          </w:tcPr>
          <w:p w14:paraId="40D71ED5"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CR</w:t>
            </w:r>
          </w:p>
        </w:tc>
        <w:tc>
          <w:tcPr>
            <w:tcW w:w="427" w:type="pct"/>
            <w:hideMark/>
          </w:tcPr>
          <w:p w14:paraId="17C6B1AA" w14:textId="77777777" w:rsidR="00DA79D6" w:rsidRPr="00715199" w:rsidRDefault="00DA79D6" w:rsidP="00715199">
            <w:pPr>
              <w:spacing w:after="0"/>
              <w:jc w:val="center"/>
              <w:rPr>
                <w:rFonts w:eastAsia="Times New Roman"/>
                <w:b/>
                <w:bCs/>
                <w:kern w:val="0"/>
                <w:lang w:eastAsia="tr-TR"/>
                <w14:ligatures w14:val="none"/>
              </w:rPr>
            </w:pPr>
            <w:r w:rsidRPr="00715199">
              <w:rPr>
                <w:rFonts w:eastAsia="Times New Roman"/>
                <w:b/>
                <w:bCs/>
                <w:kern w:val="0"/>
                <w:lang w:eastAsia="tr-TR"/>
                <w14:ligatures w14:val="none"/>
              </w:rPr>
              <w:t>p</w:t>
            </w:r>
          </w:p>
        </w:tc>
      </w:tr>
      <w:tr w:rsidR="00DA79D6" w:rsidRPr="00715199" w14:paraId="67569862" w14:textId="77777777" w:rsidTr="00DA79D6">
        <w:tc>
          <w:tcPr>
            <w:tcW w:w="2054" w:type="pct"/>
            <w:hideMark/>
          </w:tcPr>
          <w:p w14:paraId="0FA8E671"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A → Değişken C</w:t>
            </w:r>
          </w:p>
        </w:tc>
        <w:tc>
          <w:tcPr>
            <w:tcW w:w="1045" w:type="pct"/>
            <w:hideMark/>
          </w:tcPr>
          <w:p w14:paraId="5D9D4521"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45" w:type="pct"/>
            <w:hideMark/>
          </w:tcPr>
          <w:p w14:paraId="7571F926"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427" w:type="pct"/>
            <w:hideMark/>
          </w:tcPr>
          <w:p w14:paraId="307011CE"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427" w:type="pct"/>
            <w:hideMark/>
          </w:tcPr>
          <w:p w14:paraId="5667CDFF"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0B83EDB1" w14:textId="77777777" w:rsidTr="00DA79D6">
        <w:tc>
          <w:tcPr>
            <w:tcW w:w="2054" w:type="pct"/>
            <w:hideMark/>
          </w:tcPr>
          <w:p w14:paraId="0020E543"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A → Değişken B</w:t>
            </w:r>
          </w:p>
        </w:tc>
        <w:tc>
          <w:tcPr>
            <w:tcW w:w="1045" w:type="pct"/>
            <w:hideMark/>
          </w:tcPr>
          <w:p w14:paraId="0907DFE9"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45" w:type="pct"/>
            <w:hideMark/>
          </w:tcPr>
          <w:p w14:paraId="0E259357"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427" w:type="pct"/>
            <w:hideMark/>
          </w:tcPr>
          <w:p w14:paraId="52921A1B"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427" w:type="pct"/>
            <w:hideMark/>
          </w:tcPr>
          <w:p w14:paraId="4A006087"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2C4F837D" w14:textId="77777777" w:rsidTr="00DA79D6">
        <w:tc>
          <w:tcPr>
            <w:tcW w:w="2054" w:type="pct"/>
            <w:hideMark/>
          </w:tcPr>
          <w:p w14:paraId="5F426030"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B → Değişken C</w:t>
            </w:r>
          </w:p>
        </w:tc>
        <w:tc>
          <w:tcPr>
            <w:tcW w:w="1045" w:type="pct"/>
            <w:hideMark/>
          </w:tcPr>
          <w:p w14:paraId="1070F6D2"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45" w:type="pct"/>
            <w:hideMark/>
          </w:tcPr>
          <w:p w14:paraId="58B9808C"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427" w:type="pct"/>
            <w:hideMark/>
          </w:tcPr>
          <w:p w14:paraId="5F8565C8"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427" w:type="pct"/>
            <w:hideMark/>
          </w:tcPr>
          <w:p w14:paraId="1B9E8B37"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3A69042D" w14:textId="77777777" w:rsidTr="00DA79D6">
        <w:tc>
          <w:tcPr>
            <w:tcW w:w="2054" w:type="pct"/>
            <w:hideMark/>
          </w:tcPr>
          <w:p w14:paraId="01742955"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Değişken D → Değişken C</w:t>
            </w:r>
          </w:p>
        </w:tc>
        <w:tc>
          <w:tcPr>
            <w:tcW w:w="1045" w:type="pct"/>
            <w:hideMark/>
          </w:tcPr>
          <w:p w14:paraId="606249F7"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45" w:type="pct"/>
            <w:hideMark/>
          </w:tcPr>
          <w:p w14:paraId="35BC6964"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427" w:type="pct"/>
            <w:hideMark/>
          </w:tcPr>
          <w:p w14:paraId="1823EC69"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427" w:type="pct"/>
            <w:hideMark/>
          </w:tcPr>
          <w:p w14:paraId="35312BC5"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r w:rsidR="00DA79D6" w:rsidRPr="00715199" w14:paraId="400E2C4C" w14:textId="77777777" w:rsidTr="00DA79D6">
        <w:tc>
          <w:tcPr>
            <w:tcW w:w="2054" w:type="pct"/>
            <w:hideMark/>
          </w:tcPr>
          <w:p w14:paraId="69D2037E"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Etkileşim → Değişken C</w:t>
            </w:r>
          </w:p>
        </w:tc>
        <w:tc>
          <w:tcPr>
            <w:tcW w:w="1045" w:type="pct"/>
            <w:hideMark/>
          </w:tcPr>
          <w:p w14:paraId="38DCEE1D"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1045" w:type="pct"/>
            <w:hideMark/>
          </w:tcPr>
          <w:p w14:paraId="0EA7933F"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427" w:type="pct"/>
            <w:hideMark/>
          </w:tcPr>
          <w:p w14:paraId="4DC8A104"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c>
          <w:tcPr>
            <w:tcW w:w="427" w:type="pct"/>
            <w:hideMark/>
          </w:tcPr>
          <w:p w14:paraId="24D5FB15" w14:textId="77777777" w:rsidR="00DA79D6" w:rsidRPr="00715199" w:rsidRDefault="00DA79D6" w:rsidP="00715199">
            <w:pPr>
              <w:spacing w:after="0"/>
              <w:jc w:val="left"/>
              <w:rPr>
                <w:rFonts w:eastAsia="Times New Roman"/>
                <w:kern w:val="0"/>
                <w:lang w:eastAsia="tr-TR"/>
                <w14:ligatures w14:val="none"/>
              </w:rPr>
            </w:pPr>
            <w:r w:rsidRPr="00715199">
              <w:rPr>
                <w:rFonts w:eastAsia="Times New Roman"/>
                <w:kern w:val="0"/>
                <w:lang w:eastAsia="tr-TR"/>
                <w14:ligatures w14:val="none"/>
              </w:rPr>
              <w:t>xxx</w:t>
            </w:r>
          </w:p>
        </w:tc>
      </w:tr>
    </w:tbl>
    <w:p w14:paraId="0020D7D6" w14:textId="051DB2B4" w:rsidR="00DA79D6" w:rsidRPr="00715199" w:rsidRDefault="00DA79D6" w:rsidP="00715199">
      <w:pPr>
        <w:spacing w:after="0" w:line="360" w:lineRule="auto"/>
        <w:rPr>
          <w:sz w:val="22"/>
          <w:szCs w:val="22"/>
          <w:lang w:val="en-US"/>
        </w:rPr>
      </w:pPr>
      <w:r w:rsidRPr="00715199">
        <w:rPr>
          <w:i/>
          <w:iCs/>
          <w:sz w:val="22"/>
          <w:szCs w:val="22"/>
          <w:lang w:val="en-US"/>
        </w:rPr>
        <w:t>Note.</w:t>
      </w:r>
      <w:r w:rsidRPr="00715199">
        <w:rPr>
          <w:sz w:val="22"/>
          <w:szCs w:val="22"/>
          <w:lang w:val="en-US"/>
        </w:rPr>
        <w:t xml:space="preserve"> </w:t>
      </w:r>
    </w:p>
    <w:p w14:paraId="58443BC6" w14:textId="027D7E31" w:rsidR="00DA79D6" w:rsidRPr="00715199" w:rsidRDefault="00DA79D6" w:rsidP="00715199">
      <w:pPr>
        <w:spacing w:after="0" w:line="360" w:lineRule="auto"/>
        <w:rPr>
          <w:sz w:val="22"/>
          <w:szCs w:val="22"/>
          <w:lang w:val="en-US"/>
        </w:rPr>
      </w:pPr>
      <w:r w:rsidRPr="00715199">
        <w:rPr>
          <w:sz w:val="22"/>
          <w:szCs w:val="22"/>
        </w:rPr>
        <w:t>In conclusion, SEM analyses revealed that bazı doğrudan, dolaylı ve düzenleyici etkiler desteklenmiş; bazıları ise örnekleme bağlı olarak farklılaşmıştır. Model genel olarak her iki örneklemde de geçerliliğini korumaktadır.</w:t>
      </w:r>
    </w:p>
    <w:p w14:paraId="2E1C5004" w14:textId="77777777" w:rsidR="00A20822" w:rsidRPr="00715199" w:rsidRDefault="00A20822" w:rsidP="00715199">
      <w:pPr>
        <w:spacing w:after="0" w:line="360" w:lineRule="auto"/>
      </w:pPr>
    </w:p>
    <w:sectPr w:rsidR="00A20822" w:rsidRPr="007151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0A8B" w14:textId="77777777" w:rsidR="00CD460D" w:rsidRDefault="00CD460D" w:rsidP="00715199">
      <w:pPr>
        <w:spacing w:after="0"/>
      </w:pPr>
      <w:r>
        <w:separator/>
      </w:r>
    </w:p>
  </w:endnote>
  <w:endnote w:type="continuationSeparator" w:id="0">
    <w:p w14:paraId="7F3B636E" w14:textId="77777777" w:rsidR="00CD460D" w:rsidRDefault="00CD460D" w:rsidP="007151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FB14" w14:textId="77777777" w:rsidR="00715199" w:rsidRDefault="0071519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2C15" w14:textId="77777777" w:rsidR="00715199" w:rsidRDefault="0071519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6E12" w14:textId="77777777" w:rsidR="00715199" w:rsidRDefault="007151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7316" w14:textId="77777777" w:rsidR="00CD460D" w:rsidRDefault="00CD460D" w:rsidP="00715199">
      <w:pPr>
        <w:spacing w:after="0"/>
      </w:pPr>
      <w:r>
        <w:separator/>
      </w:r>
    </w:p>
  </w:footnote>
  <w:footnote w:type="continuationSeparator" w:id="0">
    <w:p w14:paraId="6A344769" w14:textId="77777777" w:rsidR="00CD460D" w:rsidRDefault="00CD460D" w:rsidP="007151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9CE1" w14:textId="4B4573DB" w:rsidR="00715199" w:rsidRDefault="00CD460D">
    <w:pPr>
      <w:pStyle w:val="stBilgi"/>
    </w:pPr>
    <w:r>
      <w:rPr>
        <w:noProof/>
      </w:rPr>
      <w:pict w14:anchorId="66C28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346047" o:spid="_x0000_s1027" type="#_x0000_t136" alt="" style="position:absolute;left:0;text-align:left;margin-left:0;margin-top:0;width:453.2pt;height:104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7E9D" w14:textId="3DA73866" w:rsidR="00715199" w:rsidRDefault="00CD460D">
    <w:pPr>
      <w:pStyle w:val="stBilgi"/>
    </w:pPr>
    <w:r>
      <w:rPr>
        <w:noProof/>
      </w:rPr>
      <w:pict w14:anchorId="3C03F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346048" o:spid="_x0000_s1026" type="#_x0000_t136" alt="" style="position:absolute;left:0;text-align:left;margin-left:0;margin-top:0;width:453.2pt;height:104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81CA" w14:textId="4964B3ED" w:rsidR="00715199" w:rsidRDefault="00CD460D">
    <w:pPr>
      <w:pStyle w:val="stBilgi"/>
    </w:pPr>
    <w:r>
      <w:rPr>
        <w:noProof/>
      </w:rPr>
      <w:pict w14:anchorId="5AEE7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346046" o:spid="_x0000_s1025" type="#_x0000_t136" alt="" style="position:absolute;left:0;text-align:left;margin-left:0;margin-top:0;width:453.2pt;height:104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0D6F"/>
    <w:multiLevelType w:val="multilevel"/>
    <w:tmpl w:val="07CE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9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D6"/>
    <w:rsid w:val="00120EE4"/>
    <w:rsid w:val="00157C67"/>
    <w:rsid w:val="001E5010"/>
    <w:rsid w:val="0021290D"/>
    <w:rsid w:val="0056254B"/>
    <w:rsid w:val="00715199"/>
    <w:rsid w:val="00A20822"/>
    <w:rsid w:val="00A62A10"/>
    <w:rsid w:val="00A67D78"/>
    <w:rsid w:val="00CD460D"/>
    <w:rsid w:val="00DA79D6"/>
    <w:rsid w:val="00DF1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E4D5C"/>
  <w15:chartTrackingRefBased/>
  <w15:docId w15:val="{2D81BD87-D420-3443-9D84-536C43C3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D6"/>
    <w:pPr>
      <w:spacing w:after="120"/>
      <w:jc w:val="both"/>
    </w:pPr>
    <w:rPr>
      <w:rFonts w:ascii="Times New Roman" w:hAnsi="Times New Roman" w:cs="Times New Roman"/>
    </w:rPr>
  </w:style>
  <w:style w:type="paragraph" w:styleId="Balk1">
    <w:name w:val="heading 1"/>
    <w:basedOn w:val="Normal"/>
    <w:next w:val="Normal"/>
    <w:link w:val="Balk1Char"/>
    <w:uiPriority w:val="9"/>
    <w:qFormat/>
    <w:rsid w:val="00DA79D6"/>
    <w:pPr>
      <w:keepNext/>
      <w:keepLines/>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DA79D6"/>
    <w:pPr>
      <w:keepNext/>
      <w:keepLines/>
      <w:spacing w:before="160" w:after="80"/>
      <w:jc w:val="left"/>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DA79D6"/>
    <w:pPr>
      <w:keepNext/>
      <w:keepLines/>
      <w:spacing w:before="160" w:after="80"/>
      <w:jc w:val="left"/>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A79D6"/>
    <w:pPr>
      <w:keepNext/>
      <w:keepLines/>
      <w:spacing w:before="80" w:after="40"/>
      <w:jc w:val="left"/>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A79D6"/>
    <w:pPr>
      <w:keepNext/>
      <w:keepLines/>
      <w:spacing w:before="80" w:after="40"/>
      <w:jc w:val="left"/>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A79D6"/>
    <w:pPr>
      <w:keepNext/>
      <w:keepLines/>
      <w:spacing w:before="40" w:after="0"/>
      <w:jc w:val="left"/>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A79D6"/>
    <w:pPr>
      <w:keepNext/>
      <w:keepLines/>
      <w:spacing w:before="40" w:after="0"/>
      <w:jc w:val="left"/>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A79D6"/>
    <w:pPr>
      <w:keepNext/>
      <w:keepLines/>
      <w:spacing w:after="0"/>
      <w:jc w:val="left"/>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A79D6"/>
    <w:pPr>
      <w:keepNext/>
      <w:keepLines/>
      <w:spacing w:after="0"/>
      <w:jc w:val="left"/>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79D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DA79D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DA79D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A79D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A79D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A79D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79D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79D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79D6"/>
    <w:rPr>
      <w:rFonts w:eastAsiaTheme="majorEastAsia" w:cstheme="majorBidi"/>
      <w:color w:val="272727" w:themeColor="text1" w:themeTint="D8"/>
    </w:rPr>
  </w:style>
  <w:style w:type="paragraph" w:styleId="KonuBal">
    <w:name w:val="Title"/>
    <w:basedOn w:val="Normal"/>
    <w:next w:val="Normal"/>
    <w:link w:val="KonuBalChar"/>
    <w:uiPriority w:val="10"/>
    <w:qFormat/>
    <w:rsid w:val="00DA79D6"/>
    <w:pPr>
      <w:spacing w:after="80"/>
      <w:contextualSpacing/>
      <w:jc w:val="left"/>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79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79D6"/>
    <w:pPr>
      <w:numPr>
        <w:ilvl w:val="1"/>
      </w:numPr>
      <w:spacing w:after="160"/>
      <w:jc w:val="left"/>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79D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79D6"/>
    <w:pPr>
      <w:spacing w:before="160" w:after="160"/>
      <w:jc w:val="center"/>
    </w:pPr>
    <w:rPr>
      <w:rFonts w:asciiTheme="minorHAnsi" w:hAnsiTheme="minorHAnsi" w:cstheme="minorBidi"/>
      <w:i/>
      <w:iCs/>
      <w:color w:val="404040" w:themeColor="text1" w:themeTint="BF"/>
    </w:rPr>
  </w:style>
  <w:style w:type="character" w:customStyle="1" w:styleId="AlntChar">
    <w:name w:val="Alıntı Char"/>
    <w:basedOn w:val="VarsaylanParagrafYazTipi"/>
    <w:link w:val="Alnt"/>
    <w:uiPriority w:val="29"/>
    <w:rsid w:val="00DA79D6"/>
    <w:rPr>
      <w:i/>
      <w:iCs/>
      <w:color w:val="404040" w:themeColor="text1" w:themeTint="BF"/>
    </w:rPr>
  </w:style>
  <w:style w:type="paragraph" w:styleId="ListeParagraf">
    <w:name w:val="List Paragraph"/>
    <w:basedOn w:val="Normal"/>
    <w:uiPriority w:val="34"/>
    <w:qFormat/>
    <w:rsid w:val="00DA79D6"/>
    <w:pPr>
      <w:spacing w:after="0"/>
      <w:ind w:left="720"/>
      <w:contextualSpacing/>
      <w:jc w:val="left"/>
    </w:pPr>
    <w:rPr>
      <w:rFonts w:asciiTheme="minorHAnsi" w:hAnsiTheme="minorHAnsi" w:cstheme="minorBidi"/>
    </w:rPr>
  </w:style>
  <w:style w:type="character" w:styleId="GlVurgulama">
    <w:name w:val="Intense Emphasis"/>
    <w:basedOn w:val="VarsaylanParagrafYazTipi"/>
    <w:uiPriority w:val="21"/>
    <w:qFormat/>
    <w:rsid w:val="00DA79D6"/>
    <w:rPr>
      <w:i/>
      <w:iCs/>
      <w:color w:val="2F5496" w:themeColor="accent1" w:themeShade="BF"/>
    </w:rPr>
  </w:style>
  <w:style w:type="paragraph" w:styleId="GlAlnt">
    <w:name w:val="Intense Quote"/>
    <w:basedOn w:val="Normal"/>
    <w:next w:val="Normal"/>
    <w:link w:val="GlAlntChar"/>
    <w:uiPriority w:val="30"/>
    <w:qFormat/>
    <w:rsid w:val="00DA79D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rPr>
  </w:style>
  <w:style w:type="character" w:customStyle="1" w:styleId="GlAlntChar">
    <w:name w:val="Güçlü Alıntı Char"/>
    <w:basedOn w:val="VarsaylanParagrafYazTipi"/>
    <w:link w:val="GlAlnt"/>
    <w:uiPriority w:val="30"/>
    <w:rsid w:val="00DA79D6"/>
    <w:rPr>
      <w:i/>
      <w:iCs/>
      <w:color w:val="2F5496" w:themeColor="accent1" w:themeShade="BF"/>
    </w:rPr>
  </w:style>
  <w:style w:type="character" w:styleId="GlBavuru">
    <w:name w:val="Intense Reference"/>
    <w:basedOn w:val="VarsaylanParagrafYazTipi"/>
    <w:uiPriority w:val="32"/>
    <w:qFormat/>
    <w:rsid w:val="00DA79D6"/>
    <w:rPr>
      <w:b/>
      <w:bCs/>
      <w:smallCaps/>
      <w:color w:val="2F5496" w:themeColor="accent1" w:themeShade="BF"/>
      <w:spacing w:val="5"/>
    </w:rPr>
  </w:style>
  <w:style w:type="paragraph" w:styleId="ResimYazs">
    <w:name w:val="caption"/>
    <w:basedOn w:val="Normal"/>
    <w:next w:val="Normal"/>
    <w:uiPriority w:val="35"/>
    <w:unhideWhenUsed/>
    <w:qFormat/>
    <w:rsid w:val="00DA79D6"/>
    <w:pPr>
      <w:spacing w:after="200"/>
    </w:pPr>
    <w:rPr>
      <w:i/>
      <w:iCs/>
      <w:color w:val="44546A" w:themeColor="text2"/>
      <w:sz w:val="18"/>
      <w:szCs w:val="18"/>
    </w:rPr>
  </w:style>
  <w:style w:type="table" w:styleId="TabloKlavuzu">
    <w:name w:val="Table Grid"/>
    <w:basedOn w:val="NormalTablo"/>
    <w:uiPriority w:val="39"/>
    <w:rsid w:val="00DA79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DA79D6"/>
    <w:rPr>
      <w:b/>
      <w:bCs/>
    </w:rPr>
  </w:style>
  <w:style w:type="paragraph" w:styleId="NormalWeb">
    <w:name w:val="Normal (Web)"/>
    <w:basedOn w:val="Normal"/>
    <w:uiPriority w:val="99"/>
    <w:unhideWhenUsed/>
    <w:rsid w:val="00DA79D6"/>
    <w:pPr>
      <w:spacing w:before="100" w:beforeAutospacing="1" w:after="100" w:afterAutospacing="1"/>
      <w:jc w:val="left"/>
    </w:pPr>
    <w:rPr>
      <w:rFonts w:eastAsia="Times New Roman"/>
      <w:kern w:val="0"/>
      <w:lang w:eastAsia="tr-TR"/>
      <w14:ligatures w14:val="none"/>
    </w:rPr>
  </w:style>
  <w:style w:type="paragraph" w:styleId="stBilgi">
    <w:name w:val="header"/>
    <w:basedOn w:val="Normal"/>
    <w:link w:val="stBilgiChar"/>
    <w:uiPriority w:val="99"/>
    <w:unhideWhenUsed/>
    <w:rsid w:val="00715199"/>
    <w:pPr>
      <w:tabs>
        <w:tab w:val="center" w:pos="4536"/>
        <w:tab w:val="right" w:pos="9072"/>
      </w:tabs>
      <w:spacing w:after="0"/>
    </w:pPr>
  </w:style>
  <w:style w:type="character" w:customStyle="1" w:styleId="stBilgiChar">
    <w:name w:val="Üst Bilgi Char"/>
    <w:basedOn w:val="VarsaylanParagrafYazTipi"/>
    <w:link w:val="stBilgi"/>
    <w:uiPriority w:val="99"/>
    <w:rsid w:val="00715199"/>
    <w:rPr>
      <w:rFonts w:ascii="Times New Roman" w:hAnsi="Times New Roman" w:cs="Times New Roman"/>
    </w:rPr>
  </w:style>
  <w:style w:type="paragraph" w:styleId="AltBilgi">
    <w:name w:val="footer"/>
    <w:basedOn w:val="Normal"/>
    <w:link w:val="AltBilgiChar"/>
    <w:uiPriority w:val="99"/>
    <w:unhideWhenUsed/>
    <w:rsid w:val="00715199"/>
    <w:pPr>
      <w:tabs>
        <w:tab w:val="center" w:pos="4536"/>
        <w:tab w:val="right" w:pos="9072"/>
      </w:tabs>
      <w:spacing w:after="0"/>
    </w:pPr>
  </w:style>
  <w:style w:type="character" w:customStyle="1" w:styleId="AltBilgiChar">
    <w:name w:val="Alt Bilgi Char"/>
    <w:basedOn w:val="VarsaylanParagrafYazTipi"/>
    <w:link w:val="AltBilgi"/>
    <w:uiPriority w:val="99"/>
    <w:rsid w:val="007151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1300</Words>
  <Characters>6670</Characters>
  <Application>Microsoft Office Word</Application>
  <DocSecurity>0</DocSecurity>
  <Lines>333</Lines>
  <Paragraphs>274</Paragraphs>
  <ScaleCrop>false</ScaleCrop>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3</cp:revision>
  <dcterms:created xsi:type="dcterms:W3CDTF">2026-03-25T13:33:00Z</dcterms:created>
  <dcterms:modified xsi:type="dcterms:W3CDTF">2026-03-26T08:16:00Z</dcterms:modified>
</cp:coreProperties>
</file>