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1975" w14:textId="5DB21546" w:rsidR="00663722" w:rsidRPr="00663722" w:rsidRDefault="00663722" w:rsidP="00663722">
      <w:pPr>
        <w:spacing w:line="360" w:lineRule="auto"/>
        <w:jc w:val="both"/>
        <w:outlineLvl w:val="2"/>
        <w:rPr>
          <w:b/>
          <w:bCs/>
          <w:color w:val="000000" w:themeColor="text1"/>
        </w:rPr>
      </w:pPr>
      <w:bookmarkStart w:id="0" w:name="_Toc214443828"/>
      <w:bookmarkStart w:id="1" w:name="_Toc219731312"/>
      <w:r w:rsidRPr="00663722">
        <w:rPr>
          <w:b/>
          <w:bCs/>
          <w:color w:val="000000" w:themeColor="text1"/>
        </w:rPr>
        <w:t>Analizin Adı</w:t>
      </w:r>
      <w:r w:rsidRPr="00663722">
        <w:rPr>
          <w:b/>
          <w:bCs/>
          <w:color w:val="000000" w:themeColor="text1"/>
        </w:rPr>
        <w:t xml:space="preserve">: </w:t>
      </w:r>
      <w:r w:rsidRPr="00663722">
        <w:rPr>
          <w:color w:val="000000" w:themeColor="text1"/>
        </w:rPr>
        <w:t>ROC Analizi (Receiver Operating Characteristic)</w:t>
      </w:r>
    </w:p>
    <w:p w14:paraId="74E1250F" w14:textId="13E6FE6A" w:rsidR="00663722" w:rsidRPr="00663722" w:rsidRDefault="00663722" w:rsidP="00663722">
      <w:pPr>
        <w:pStyle w:val="Balk3"/>
        <w:spacing w:before="0" w:after="0" w:line="360" w:lineRule="auto"/>
        <w:jc w:val="both"/>
        <w:rPr>
          <w:rFonts w:cs="Times New Roman"/>
          <w:color w:val="000000" w:themeColor="text1"/>
          <w:sz w:val="24"/>
          <w:szCs w:val="24"/>
        </w:rPr>
      </w:pPr>
      <w:r w:rsidRPr="00663722">
        <w:rPr>
          <w:rStyle w:val="Gl"/>
          <w:rFonts w:cs="Times New Roman"/>
          <w:color w:val="000000" w:themeColor="text1"/>
          <w:sz w:val="24"/>
          <w:szCs w:val="24"/>
        </w:rPr>
        <w:t>Kullanım Alanları</w:t>
      </w:r>
      <w:r w:rsidRPr="00663722">
        <w:rPr>
          <w:rStyle w:val="Gl"/>
          <w:rFonts w:cs="Times New Roman"/>
          <w:color w:val="000000" w:themeColor="text1"/>
          <w:sz w:val="24"/>
          <w:szCs w:val="24"/>
        </w:rPr>
        <w:t xml:space="preserve">: </w:t>
      </w:r>
      <w:r w:rsidRPr="00663722">
        <w:rPr>
          <w:rFonts w:cs="Times New Roman"/>
          <w:color w:val="000000" w:themeColor="text1"/>
          <w:sz w:val="24"/>
          <w:szCs w:val="24"/>
        </w:rPr>
        <w:t>ROC analizi, bir testin veya modelin sınıflandırma performansını değerlendirmek amacıyla kullanılmaktadır. Özellikle tıp, sağlık bilimleri, biyostatistik ve makine öğrenmesi alanlarında; hastalık tanısı, risk tahmini ve tanı testlerinin doğruluğunun belirlenmesinde yaygın olarak tercih edilmektedir.</w:t>
      </w:r>
    </w:p>
    <w:p w14:paraId="0B88AD96" w14:textId="28B84D94" w:rsidR="00663722" w:rsidRPr="00663722" w:rsidRDefault="00663722" w:rsidP="00663722">
      <w:pPr>
        <w:pStyle w:val="Balk3"/>
        <w:spacing w:before="0" w:after="0" w:line="360" w:lineRule="auto"/>
        <w:jc w:val="both"/>
        <w:rPr>
          <w:rFonts w:cs="Times New Roman"/>
          <w:color w:val="000000" w:themeColor="text1"/>
          <w:sz w:val="24"/>
          <w:szCs w:val="24"/>
        </w:rPr>
      </w:pPr>
      <w:r w:rsidRPr="00663722">
        <w:rPr>
          <w:rStyle w:val="Gl"/>
          <w:rFonts w:cs="Times New Roman"/>
          <w:color w:val="000000" w:themeColor="text1"/>
          <w:sz w:val="24"/>
          <w:szCs w:val="24"/>
        </w:rPr>
        <w:t>Amacı</w:t>
      </w:r>
      <w:r w:rsidRPr="00663722">
        <w:rPr>
          <w:rStyle w:val="Gl"/>
          <w:rFonts w:cs="Times New Roman"/>
          <w:color w:val="000000" w:themeColor="text1"/>
          <w:sz w:val="24"/>
          <w:szCs w:val="24"/>
        </w:rPr>
        <w:t xml:space="preserve">: </w:t>
      </w:r>
      <w:r w:rsidRPr="00663722">
        <w:rPr>
          <w:rFonts w:cs="Times New Roman"/>
          <w:color w:val="000000" w:themeColor="text1"/>
          <w:sz w:val="24"/>
          <w:szCs w:val="24"/>
        </w:rPr>
        <w:t>Bu analiz, bir testin veya modelin doğru sınıflandırma gücünü ölçmeyi ve en uygun kesme (cut-off) noktasını belirlemeyi amaçlamaktadır. Aynı zamanda duyarlılık ve özgüllük arasındaki dengeyi ortaya koymak hedeflenmektedir.</w:t>
      </w:r>
    </w:p>
    <w:p w14:paraId="5E7D6AE8" w14:textId="1FBAF623" w:rsidR="00663722" w:rsidRPr="00663722" w:rsidRDefault="00663722" w:rsidP="00663722">
      <w:pPr>
        <w:pStyle w:val="Balk3"/>
        <w:spacing w:before="0" w:after="0" w:line="360" w:lineRule="auto"/>
        <w:jc w:val="both"/>
        <w:rPr>
          <w:rFonts w:cs="Times New Roman"/>
          <w:color w:val="000000" w:themeColor="text1"/>
          <w:sz w:val="24"/>
          <w:szCs w:val="24"/>
        </w:rPr>
      </w:pPr>
      <w:r w:rsidRPr="00663722">
        <w:rPr>
          <w:rStyle w:val="Gl"/>
          <w:rFonts w:cs="Times New Roman"/>
          <w:color w:val="000000" w:themeColor="text1"/>
          <w:sz w:val="24"/>
          <w:szCs w:val="24"/>
        </w:rPr>
        <w:t>Ne Anlama Geldiği</w:t>
      </w:r>
      <w:r w:rsidRPr="00663722">
        <w:rPr>
          <w:rStyle w:val="Gl"/>
          <w:rFonts w:cs="Times New Roman"/>
          <w:color w:val="000000" w:themeColor="text1"/>
          <w:sz w:val="24"/>
          <w:szCs w:val="24"/>
        </w:rPr>
        <w:t xml:space="preserve">: </w:t>
      </w:r>
      <w:r w:rsidRPr="00663722">
        <w:rPr>
          <w:rFonts w:cs="Times New Roman"/>
          <w:color w:val="000000" w:themeColor="text1"/>
          <w:sz w:val="24"/>
          <w:szCs w:val="24"/>
        </w:rPr>
        <w:t xml:space="preserve">ROC analizinde elde edilen </w:t>
      </w:r>
      <w:r w:rsidRPr="00663722">
        <w:rPr>
          <w:rStyle w:val="Gl"/>
          <w:rFonts w:cs="Times New Roman"/>
          <w:color w:val="000000" w:themeColor="text1"/>
          <w:sz w:val="24"/>
          <w:szCs w:val="24"/>
        </w:rPr>
        <w:t>AUC (Area Under Curve)</w:t>
      </w:r>
      <w:r w:rsidRPr="00663722">
        <w:rPr>
          <w:rFonts w:cs="Times New Roman"/>
          <w:color w:val="000000" w:themeColor="text1"/>
          <w:sz w:val="24"/>
          <w:szCs w:val="24"/>
        </w:rPr>
        <w:t xml:space="preserve"> değeri, modelin ayırt edici gücünü göstermektedir.</w:t>
      </w:r>
    </w:p>
    <w:p w14:paraId="0C7B24B2" w14:textId="77777777" w:rsidR="00663722" w:rsidRPr="00663722" w:rsidRDefault="00663722" w:rsidP="00663722">
      <w:pPr>
        <w:numPr>
          <w:ilvl w:val="0"/>
          <w:numId w:val="1"/>
        </w:numPr>
        <w:spacing w:line="360" w:lineRule="auto"/>
        <w:ind w:left="0" w:firstLine="0"/>
        <w:rPr>
          <w:color w:val="000000" w:themeColor="text1"/>
        </w:rPr>
      </w:pPr>
      <w:r w:rsidRPr="00663722">
        <w:rPr>
          <w:rStyle w:val="Gl"/>
          <w:color w:val="000000" w:themeColor="text1"/>
        </w:rPr>
        <w:t>AUC = 0.5</w:t>
      </w:r>
      <w:r w:rsidRPr="00663722">
        <w:rPr>
          <w:color w:val="000000" w:themeColor="text1"/>
        </w:rPr>
        <w:t xml:space="preserve">: Ayırt edici güç yok </w:t>
      </w:r>
    </w:p>
    <w:p w14:paraId="6B3B6F0B" w14:textId="77777777" w:rsidR="00663722" w:rsidRPr="00663722" w:rsidRDefault="00663722" w:rsidP="00663722">
      <w:pPr>
        <w:numPr>
          <w:ilvl w:val="0"/>
          <w:numId w:val="1"/>
        </w:numPr>
        <w:spacing w:line="360" w:lineRule="auto"/>
        <w:ind w:left="0" w:firstLine="0"/>
        <w:rPr>
          <w:color w:val="000000" w:themeColor="text1"/>
        </w:rPr>
      </w:pPr>
      <w:r w:rsidRPr="00663722">
        <w:rPr>
          <w:rStyle w:val="Gl"/>
          <w:color w:val="000000" w:themeColor="text1"/>
        </w:rPr>
        <w:t>0.6–0.7</w:t>
      </w:r>
      <w:r w:rsidRPr="00663722">
        <w:rPr>
          <w:color w:val="000000" w:themeColor="text1"/>
        </w:rPr>
        <w:t xml:space="preserve">: Zayıf </w:t>
      </w:r>
    </w:p>
    <w:p w14:paraId="621FE38B" w14:textId="77777777" w:rsidR="00663722" w:rsidRPr="00663722" w:rsidRDefault="00663722" w:rsidP="00663722">
      <w:pPr>
        <w:numPr>
          <w:ilvl w:val="0"/>
          <w:numId w:val="1"/>
        </w:numPr>
        <w:spacing w:line="360" w:lineRule="auto"/>
        <w:ind w:left="0" w:firstLine="0"/>
        <w:rPr>
          <w:color w:val="000000" w:themeColor="text1"/>
        </w:rPr>
      </w:pPr>
      <w:r w:rsidRPr="00663722">
        <w:rPr>
          <w:rStyle w:val="Gl"/>
          <w:color w:val="000000" w:themeColor="text1"/>
        </w:rPr>
        <w:t>0.7–0.8</w:t>
      </w:r>
      <w:r w:rsidRPr="00663722">
        <w:rPr>
          <w:color w:val="000000" w:themeColor="text1"/>
        </w:rPr>
        <w:t xml:space="preserve">: Orta </w:t>
      </w:r>
    </w:p>
    <w:p w14:paraId="7C693092" w14:textId="77777777" w:rsidR="00663722" w:rsidRPr="00663722" w:rsidRDefault="00663722" w:rsidP="00663722">
      <w:pPr>
        <w:numPr>
          <w:ilvl w:val="0"/>
          <w:numId w:val="1"/>
        </w:numPr>
        <w:spacing w:line="360" w:lineRule="auto"/>
        <w:ind w:left="0" w:firstLine="0"/>
        <w:rPr>
          <w:color w:val="000000" w:themeColor="text1"/>
        </w:rPr>
      </w:pPr>
      <w:r w:rsidRPr="00663722">
        <w:rPr>
          <w:rStyle w:val="Gl"/>
          <w:color w:val="000000" w:themeColor="text1"/>
        </w:rPr>
        <w:t>0.8–0.9</w:t>
      </w:r>
      <w:r w:rsidRPr="00663722">
        <w:rPr>
          <w:color w:val="000000" w:themeColor="text1"/>
        </w:rPr>
        <w:t xml:space="preserve">: İyi </w:t>
      </w:r>
    </w:p>
    <w:p w14:paraId="6A795283" w14:textId="77777777" w:rsidR="00663722" w:rsidRPr="00663722" w:rsidRDefault="00663722" w:rsidP="00663722">
      <w:pPr>
        <w:numPr>
          <w:ilvl w:val="0"/>
          <w:numId w:val="1"/>
        </w:numPr>
        <w:spacing w:line="360" w:lineRule="auto"/>
        <w:ind w:left="0" w:firstLine="0"/>
        <w:rPr>
          <w:color w:val="000000" w:themeColor="text1"/>
        </w:rPr>
      </w:pPr>
      <w:r w:rsidRPr="00663722">
        <w:rPr>
          <w:rStyle w:val="Gl"/>
          <w:color w:val="000000" w:themeColor="text1"/>
        </w:rPr>
        <w:t>0.9 ve üzeri</w:t>
      </w:r>
      <w:r w:rsidRPr="00663722">
        <w:rPr>
          <w:color w:val="000000" w:themeColor="text1"/>
        </w:rPr>
        <w:t xml:space="preserve">: Mükemmel </w:t>
      </w:r>
    </w:p>
    <w:p w14:paraId="4B5F66FF" w14:textId="77777777" w:rsidR="00663722" w:rsidRPr="00663722" w:rsidRDefault="00663722" w:rsidP="00663722">
      <w:pPr>
        <w:pStyle w:val="NormalWeb"/>
        <w:spacing w:before="0" w:beforeAutospacing="0" w:after="0" w:afterAutospacing="0" w:line="360" w:lineRule="auto"/>
        <w:rPr>
          <w:color w:val="000000" w:themeColor="text1"/>
        </w:rPr>
      </w:pPr>
      <w:r w:rsidRPr="00663722">
        <w:rPr>
          <w:color w:val="000000" w:themeColor="text1"/>
        </w:rPr>
        <w:t xml:space="preserve">ROC eğrisi, duyarlılık (sensitivity) ile 1-özgüllük (false positive rate) arasındaki ilişkiyi göstermektedir. Analiz sonucunda belirlenen </w:t>
      </w:r>
      <w:r w:rsidRPr="00663722">
        <w:rPr>
          <w:rStyle w:val="Gl"/>
          <w:color w:val="000000" w:themeColor="text1"/>
        </w:rPr>
        <w:t>kesme noktası</w:t>
      </w:r>
      <w:r w:rsidRPr="00663722">
        <w:rPr>
          <w:color w:val="000000" w:themeColor="text1"/>
        </w:rPr>
        <w:t>, testin en uygun karar eşiğini ifade etmektedir.</w:t>
      </w:r>
    </w:p>
    <w:p w14:paraId="39B1A7E5" w14:textId="4169CD78" w:rsidR="00663722" w:rsidRPr="00663722" w:rsidRDefault="00663722" w:rsidP="00663722">
      <w:pPr>
        <w:pStyle w:val="NormalWeb"/>
        <w:spacing w:before="0" w:beforeAutospacing="0" w:after="0" w:afterAutospacing="0" w:line="360" w:lineRule="auto"/>
        <w:rPr>
          <w:color w:val="000000" w:themeColor="text1"/>
        </w:rPr>
      </w:pPr>
      <w:r w:rsidRPr="00663722">
        <w:rPr>
          <w:color w:val="000000" w:themeColor="text1"/>
        </w:rPr>
        <w:t>Bu analiz sayesinde bir testin veya modelin doğru tahmin yapma kapasitesi ve klinik/uygulamalı kullanımdaki etkinliği bilimsel olarak değerlendirilmektedir.</w:t>
      </w:r>
    </w:p>
    <w:p w14:paraId="5522CE55" w14:textId="77777777" w:rsidR="00663722" w:rsidRPr="00663722" w:rsidRDefault="00663722" w:rsidP="00470339">
      <w:pPr>
        <w:spacing w:line="360" w:lineRule="auto"/>
        <w:rPr>
          <w:rFonts w:eastAsia="Aptos"/>
          <w:b/>
          <w:bCs/>
          <w:sz w:val="22"/>
          <w:szCs w:val="22"/>
        </w:rPr>
      </w:pPr>
    </w:p>
    <w:p w14:paraId="66D4ED11" w14:textId="41CA087A" w:rsidR="00AB02AD" w:rsidRPr="00663722" w:rsidRDefault="00663722" w:rsidP="00470339">
      <w:pPr>
        <w:spacing w:line="360" w:lineRule="auto"/>
        <w:rPr>
          <w:rFonts w:eastAsia="Aptos"/>
          <w:b/>
          <w:bCs/>
          <w:sz w:val="22"/>
          <w:szCs w:val="22"/>
        </w:rPr>
      </w:pPr>
      <w:r w:rsidRPr="00663722">
        <w:rPr>
          <w:rFonts w:eastAsia="Aptos"/>
          <w:b/>
          <w:bCs/>
          <w:sz w:val="22"/>
          <w:szCs w:val="22"/>
        </w:rPr>
        <w:t xml:space="preserve">Örnek Analiz: </w:t>
      </w:r>
      <w:r w:rsidR="00AB02AD" w:rsidRPr="00663722">
        <w:rPr>
          <w:rFonts w:eastAsia="Aptos"/>
          <w:b/>
          <w:bCs/>
          <w:sz w:val="22"/>
          <w:szCs w:val="22"/>
        </w:rPr>
        <w:t>Prognostik Belirteçlerin Mortaliteyi Öngörmedeki Performansı (ROC Analizi)</w:t>
      </w:r>
      <w:bookmarkEnd w:id="0"/>
      <w:bookmarkEnd w:id="1"/>
    </w:p>
    <w:p w14:paraId="11979EA3" w14:textId="77777777" w:rsidR="00AB02AD" w:rsidRPr="00663722" w:rsidRDefault="00AB02AD" w:rsidP="00470339">
      <w:pPr>
        <w:spacing w:line="360" w:lineRule="auto"/>
        <w:rPr>
          <w:rFonts w:eastAsia="Aptos"/>
          <w:sz w:val="22"/>
          <w:szCs w:val="22"/>
        </w:rPr>
      </w:pPr>
    </w:p>
    <w:p w14:paraId="1E9BC8E0" w14:textId="1DD886E9" w:rsidR="00AB02AD" w:rsidRDefault="00AB02AD" w:rsidP="00470339">
      <w:pPr>
        <w:spacing w:line="360" w:lineRule="auto"/>
        <w:jc w:val="both"/>
        <w:rPr>
          <w:rFonts w:eastAsia="Aptos"/>
          <w:kern w:val="2"/>
          <w:sz w:val="22"/>
          <w:szCs w:val="22"/>
          <w:lang w:eastAsia="en-US"/>
          <w14:ligatures w14:val="standardContextual"/>
        </w:rPr>
      </w:pPr>
      <w:r w:rsidRPr="00663722">
        <w:rPr>
          <w:rFonts w:eastAsia="Aptos"/>
          <w:kern w:val="2"/>
          <w:sz w:val="22"/>
          <w:szCs w:val="22"/>
          <w:lang w:eastAsia="en-US"/>
          <w14:ligatures w14:val="standardContextual"/>
        </w:rPr>
        <w:t>Prognostik belirteçlerin mortaliteyi öngörmedeki ayırt edici performansını değerlendirmek ve klinik uygulamada kullanılabilecek optimal kesme noktalarını belirlemek amacıyla ROC analizi yapılmış ve elde edilen sonuçlar Tablo</w:t>
      </w:r>
      <w:r w:rsidR="00663722" w:rsidRPr="00663722">
        <w:rPr>
          <w:rFonts w:eastAsia="Aptos"/>
          <w:kern w:val="2"/>
          <w:sz w:val="22"/>
          <w:szCs w:val="22"/>
          <w:lang w:eastAsia="en-US"/>
          <w14:ligatures w14:val="standardContextual"/>
        </w:rPr>
        <w:t xml:space="preserve"> 1</w:t>
      </w:r>
      <w:r w:rsidRPr="00663722">
        <w:rPr>
          <w:rFonts w:eastAsia="Aptos"/>
          <w:kern w:val="2"/>
          <w:sz w:val="22"/>
          <w:szCs w:val="22"/>
          <w:lang w:eastAsia="en-US"/>
          <w14:ligatures w14:val="standardContextual"/>
        </w:rPr>
        <w:t xml:space="preserve"> d</w:t>
      </w:r>
      <w:r w:rsidR="00663722" w:rsidRPr="00663722">
        <w:rPr>
          <w:rFonts w:eastAsia="Aptos"/>
          <w:kern w:val="2"/>
          <w:sz w:val="22"/>
          <w:szCs w:val="22"/>
          <w:lang w:eastAsia="en-US"/>
          <w14:ligatures w14:val="standardContextual"/>
        </w:rPr>
        <w:t>e</w:t>
      </w:r>
      <w:r w:rsidRPr="00663722">
        <w:rPr>
          <w:rFonts w:eastAsia="Aptos"/>
          <w:kern w:val="2"/>
          <w:sz w:val="22"/>
          <w:szCs w:val="22"/>
          <w:lang w:eastAsia="en-US"/>
          <w14:ligatures w14:val="standardContextual"/>
        </w:rPr>
        <w:t xml:space="preserve"> sunulmuştur. Tüm prognostik belirteçlere ait ROC eğrileri Şekil </w:t>
      </w:r>
      <w:r w:rsidR="00663722" w:rsidRPr="00663722">
        <w:rPr>
          <w:rFonts w:eastAsia="Aptos"/>
          <w:kern w:val="2"/>
          <w:sz w:val="22"/>
          <w:szCs w:val="22"/>
          <w:lang w:eastAsia="en-US"/>
          <w14:ligatures w14:val="standardContextual"/>
        </w:rPr>
        <w:t>1</w:t>
      </w:r>
      <w:r w:rsidRPr="00663722">
        <w:rPr>
          <w:rFonts w:eastAsia="Aptos"/>
          <w:kern w:val="2"/>
          <w:sz w:val="22"/>
          <w:szCs w:val="22"/>
          <w:lang w:eastAsia="en-US"/>
          <w14:ligatures w14:val="standardContextual"/>
        </w:rPr>
        <w:t xml:space="preserve">'de gösterilmiştir. </w:t>
      </w:r>
    </w:p>
    <w:p w14:paraId="5C0600ED" w14:textId="77777777" w:rsidR="00663722" w:rsidRPr="00663722" w:rsidRDefault="00663722" w:rsidP="00470339">
      <w:pPr>
        <w:spacing w:line="360" w:lineRule="auto"/>
        <w:jc w:val="both"/>
        <w:rPr>
          <w:rFonts w:eastAsia="Aptos"/>
          <w:kern w:val="2"/>
          <w:sz w:val="22"/>
          <w:szCs w:val="22"/>
          <w:lang w:eastAsia="en-US"/>
          <w14:ligatures w14:val="standardContextual"/>
        </w:rPr>
      </w:pPr>
    </w:p>
    <w:p w14:paraId="03364A7F" w14:textId="4C4848E9" w:rsidR="00AB02AD" w:rsidRPr="00663722" w:rsidRDefault="00663722" w:rsidP="00470339">
      <w:pPr>
        <w:pStyle w:val="TABLO"/>
        <w:rPr>
          <w:rFonts w:eastAsia="Aptos"/>
          <w:i w:val="0"/>
          <w:sz w:val="22"/>
          <w:szCs w:val="22"/>
          <w:lang w:eastAsia="en-US"/>
        </w:rPr>
      </w:pPr>
      <w:bookmarkStart w:id="2" w:name="_Toc220029242"/>
      <w:r w:rsidRPr="00663722">
        <w:rPr>
          <w:rFonts w:eastAsia="Aptos"/>
          <w:i w:val="0"/>
          <w:sz w:val="22"/>
          <w:szCs w:val="22"/>
          <w:lang w:eastAsia="en-US"/>
        </w:rPr>
        <w:t xml:space="preserve">Tablo 1. </w:t>
      </w:r>
      <w:r w:rsidR="00AB02AD" w:rsidRPr="00663722">
        <w:rPr>
          <w:rFonts w:eastAsia="Aptos"/>
          <w:i w:val="0"/>
          <w:sz w:val="22"/>
          <w:szCs w:val="22"/>
          <w:lang w:eastAsia="en-US"/>
        </w:rPr>
        <w:t>Prognostik Belirteçlerin Mortaliteyi Öngörmedeki ROC Analizi Sonuçları</w:t>
      </w:r>
      <w:bookmarkEnd w:id="2"/>
    </w:p>
    <w:tbl>
      <w:tblPr>
        <w:tblStyle w:val="TabloKlavuzu"/>
        <w:tblW w:w="5000" w:type="pct"/>
        <w:tblLook w:val="04A0" w:firstRow="1" w:lastRow="0" w:firstColumn="1" w:lastColumn="0" w:noHBand="0" w:noVBand="1"/>
      </w:tblPr>
      <w:tblGrid>
        <w:gridCol w:w="1368"/>
        <w:gridCol w:w="798"/>
        <w:gridCol w:w="1472"/>
        <w:gridCol w:w="944"/>
        <w:gridCol w:w="1872"/>
        <w:gridCol w:w="1359"/>
        <w:gridCol w:w="1249"/>
      </w:tblGrid>
      <w:tr w:rsidR="00AB02AD" w:rsidRPr="00663722" w14:paraId="72241B30" w14:textId="77777777" w:rsidTr="00AB02AD">
        <w:tc>
          <w:tcPr>
            <w:tcW w:w="754" w:type="pct"/>
            <w:hideMark/>
          </w:tcPr>
          <w:p w14:paraId="695317EB" w14:textId="77777777" w:rsidR="00AB02AD" w:rsidRPr="00663722" w:rsidRDefault="00AB02AD" w:rsidP="00470339">
            <w:pPr>
              <w:spacing w:line="360" w:lineRule="auto"/>
              <w:jc w:val="center"/>
              <w:rPr>
                <w:b/>
                <w:bCs/>
                <w:sz w:val="20"/>
                <w:szCs w:val="20"/>
              </w:rPr>
            </w:pPr>
            <w:r w:rsidRPr="00663722">
              <w:rPr>
                <w:b/>
                <w:bCs/>
                <w:sz w:val="20"/>
                <w:szCs w:val="20"/>
              </w:rPr>
              <w:t>Değişken</w:t>
            </w:r>
          </w:p>
        </w:tc>
        <w:tc>
          <w:tcPr>
            <w:tcW w:w="440" w:type="pct"/>
            <w:hideMark/>
          </w:tcPr>
          <w:p w14:paraId="33C97C8C" w14:textId="77777777" w:rsidR="00AB02AD" w:rsidRPr="00663722" w:rsidRDefault="00AB02AD" w:rsidP="00470339">
            <w:pPr>
              <w:spacing w:line="360" w:lineRule="auto"/>
              <w:jc w:val="center"/>
              <w:rPr>
                <w:b/>
                <w:bCs/>
                <w:sz w:val="20"/>
                <w:szCs w:val="20"/>
              </w:rPr>
            </w:pPr>
            <w:r w:rsidRPr="00663722">
              <w:rPr>
                <w:b/>
                <w:bCs/>
                <w:sz w:val="20"/>
                <w:szCs w:val="20"/>
              </w:rPr>
              <w:t>AUC</w:t>
            </w:r>
          </w:p>
        </w:tc>
        <w:tc>
          <w:tcPr>
            <w:tcW w:w="812" w:type="pct"/>
            <w:hideMark/>
          </w:tcPr>
          <w:p w14:paraId="53BBC918" w14:textId="77777777" w:rsidR="00AB02AD" w:rsidRPr="00663722" w:rsidRDefault="00AB02AD" w:rsidP="00470339">
            <w:pPr>
              <w:spacing w:line="360" w:lineRule="auto"/>
              <w:jc w:val="center"/>
              <w:rPr>
                <w:b/>
                <w:bCs/>
                <w:sz w:val="20"/>
                <w:szCs w:val="20"/>
              </w:rPr>
            </w:pPr>
            <w:r w:rsidRPr="00663722">
              <w:rPr>
                <w:b/>
                <w:bCs/>
                <w:sz w:val="20"/>
                <w:szCs w:val="20"/>
              </w:rPr>
              <w:t>%95 GA</w:t>
            </w:r>
          </w:p>
        </w:tc>
        <w:tc>
          <w:tcPr>
            <w:tcW w:w="521" w:type="pct"/>
            <w:hideMark/>
          </w:tcPr>
          <w:p w14:paraId="661E8D6F" w14:textId="77777777" w:rsidR="00AB02AD" w:rsidRPr="00663722" w:rsidRDefault="00AB02AD" w:rsidP="00470339">
            <w:pPr>
              <w:spacing w:line="360" w:lineRule="auto"/>
              <w:jc w:val="center"/>
              <w:rPr>
                <w:b/>
                <w:bCs/>
                <w:sz w:val="20"/>
                <w:szCs w:val="20"/>
              </w:rPr>
            </w:pPr>
            <w:r w:rsidRPr="00663722">
              <w:rPr>
                <w:b/>
                <w:bCs/>
                <w:sz w:val="20"/>
                <w:szCs w:val="20"/>
              </w:rPr>
              <w:t>p</w:t>
            </w:r>
          </w:p>
        </w:tc>
        <w:tc>
          <w:tcPr>
            <w:tcW w:w="1033" w:type="pct"/>
            <w:hideMark/>
          </w:tcPr>
          <w:p w14:paraId="3D24D4DC" w14:textId="77777777" w:rsidR="00AB02AD" w:rsidRPr="00663722" w:rsidRDefault="00AB02AD" w:rsidP="00470339">
            <w:pPr>
              <w:spacing w:line="360" w:lineRule="auto"/>
              <w:jc w:val="center"/>
              <w:rPr>
                <w:b/>
                <w:bCs/>
                <w:sz w:val="20"/>
                <w:szCs w:val="20"/>
              </w:rPr>
            </w:pPr>
            <w:r w:rsidRPr="00663722">
              <w:rPr>
                <w:b/>
                <w:bCs/>
                <w:sz w:val="20"/>
                <w:szCs w:val="20"/>
              </w:rPr>
              <w:t>Kesme Noktası</w:t>
            </w:r>
          </w:p>
        </w:tc>
        <w:tc>
          <w:tcPr>
            <w:tcW w:w="750" w:type="pct"/>
            <w:hideMark/>
          </w:tcPr>
          <w:p w14:paraId="4906C739" w14:textId="77777777" w:rsidR="00AB02AD" w:rsidRPr="00663722" w:rsidRDefault="00AB02AD" w:rsidP="00470339">
            <w:pPr>
              <w:spacing w:line="360" w:lineRule="auto"/>
              <w:jc w:val="center"/>
              <w:rPr>
                <w:b/>
                <w:bCs/>
                <w:sz w:val="20"/>
                <w:szCs w:val="20"/>
              </w:rPr>
            </w:pPr>
            <w:r w:rsidRPr="00663722">
              <w:rPr>
                <w:b/>
                <w:bCs/>
                <w:sz w:val="20"/>
                <w:szCs w:val="20"/>
              </w:rPr>
              <w:t>Duyarlılık</w:t>
            </w:r>
          </w:p>
        </w:tc>
        <w:tc>
          <w:tcPr>
            <w:tcW w:w="689" w:type="pct"/>
            <w:hideMark/>
          </w:tcPr>
          <w:p w14:paraId="2415C49A" w14:textId="77777777" w:rsidR="00AB02AD" w:rsidRPr="00663722" w:rsidRDefault="00AB02AD" w:rsidP="00470339">
            <w:pPr>
              <w:spacing w:line="360" w:lineRule="auto"/>
              <w:jc w:val="center"/>
              <w:rPr>
                <w:b/>
                <w:bCs/>
                <w:sz w:val="20"/>
                <w:szCs w:val="20"/>
              </w:rPr>
            </w:pPr>
            <w:r w:rsidRPr="00663722">
              <w:rPr>
                <w:b/>
                <w:bCs/>
                <w:sz w:val="20"/>
                <w:szCs w:val="20"/>
              </w:rPr>
              <w:t>Özgüllük</w:t>
            </w:r>
          </w:p>
        </w:tc>
      </w:tr>
      <w:tr w:rsidR="00AB02AD" w:rsidRPr="00663722" w14:paraId="319DE088" w14:textId="77777777" w:rsidTr="00AB02AD">
        <w:tc>
          <w:tcPr>
            <w:tcW w:w="754" w:type="pct"/>
            <w:hideMark/>
          </w:tcPr>
          <w:p w14:paraId="6E33F912" w14:textId="77777777" w:rsidR="00AB02AD" w:rsidRPr="00663722" w:rsidRDefault="00AB02AD" w:rsidP="00470339">
            <w:pPr>
              <w:spacing w:line="360" w:lineRule="auto"/>
              <w:rPr>
                <w:sz w:val="20"/>
                <w:szCs w:val="20"/>
              </w:rPr>
            </w:pPr>
            <w:r w:rsidRPr="00663722">
              <w:rPr>
                <w:sz w:val="20"/>
                <w:szCs w:val="20"/>
              </w:rPr>
              <w:t>Belirteç 1</w:t>
            </w:r>
          </w:p>
        </w:tc>
        <w:tc>
          <w:tcPr>
            <w:tcW w:w="440" w:type="pct"/>
            <w:hideMark/>
          </w:tcPr>
          <w:p w14:paraId="5AE71250" w14:textId="77777777" w:rsidR="00AB02AD" w:rsidRPr="00663722" w:rsidRDefault="00AB02AD" w:rsidP="00470339">
            <w:pPr>
              <w:spacing w:line="360" w:lineRule="auto"/>
              <w:rPr>
                <w:sz w:val="20"/>
                <w:szCs w:val="20"/>
              </w:rPr>
            </w:pPr>
            <w:r w:rsidRPr="00663722">
              <w:rPr>
                <w:sz w:val="20"/>
                <w:szCs w:val="20"/>
              </w:rPr>
              <w:t>,697</w:t>
            </w:r>
          </w:p>
        </w:tc>
        <w:tc>
          <w:tcPr>
            <w:tcW w:w="812" w:type="pct"/>
            <w:hideMark/>
          </w:tcPr>
          <w:p w14:paraId="6DB65AC1" w14:textId="77777777" w:rsidR="00AB02AD" w:rsidRPr="00663722" w:rsidRDefault="00AB02AD" w:rsidP="00470339">
            <w:pPr>
              <w:spacing w:line="360" w:lineRule="auto"/>
              <w:rPr>
                <w:sz w:val="20"/>
                <w:szCs w:val="20"/>
              </w:rPr>
            </w:pPr>
            <w:r w:rsidRPr="00663722">
              <w:rPr>
                <w:sz w:val="20"/>
                <w:szCs w:val="20"/>
              </w:rPr>
              <w:t>0,597-0,797</w:t>
            </w:r>
          </w:p>
        </w:tc>
        <w:tc>
          <w:tcPr>
            <w:tcW w:w="521" w:type="pct"/>
            <w:hideMark/>
          </w:tcPr>
          <w:p w14:paraId="07C49A33" w14:textId="77777777" w:rsidR="00AB02AD" w:rsidRPr="00663722" w:rsidRDefault="00AB02AD" w:rsidP="00470339">
            <w:pPr>
              <w:spacing w:line="360" w:lineRule="auto"/>
              <w:rPr>
                <w:sz w:val="20"/>
                <w:szCs w:val="20"/>
              </w:rPr>
            </w:pPr>
            <w:r w:rsidRPr="00663722">
              <w:rPr>
                <w:sz w:val="20"/>
                <w:szCs w:val="20"/>
              </w:rPr>
              <w:t>,000**</w:t>
            </w:r>
          </w:p>
        </w:tc>
        <w:tc>
          <w:tcPr>
            <w:tcW w:w="1033" w:type="pct"/>
            <w:hideMark/>
          </w:tcPr>
          <w:p w14:paraId="1C5C4237"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1A64E77D"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2C116008"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4E5E7F80" w14:textId="77777777" w:rsidTr="00AB02AD">
        <w:tc>
          <w:tcPr>
            <w:tcW w:w="754" w:type="pct"/>
            <w:hideMark/>
          </w:tcPr>
          <w:p w14:paraId="10BBA224" w14:textId="77777777" w:rsidR="00AB02AD" w:rsidRPr="00663722" w:rsidRDefault="00AB02AD" w:rsidP="00470339">
            <w:pPr>
              <w:spacing w:line="360" w:lineRule="auto"/>
              <w:rPr>
                <w:sz w:val="20"/>
                <w:szCs w:val="20"/>
              </w:rPr>
            </w:pPr>
            <w:r w:rsidRPr="00663722">
              <w:rPr>
                <w:sz w:val="20"/>
                <w:szCs w:val="20"/>
              </w:rPr>
              <w:t>Belirteç 2</w:t>
            </w:r>
          </w:p>
        </w:tc>
        <w:tc>
          <w:tcPr>
            <w:tcW w:w="440" w:type="pct"/>
            <w:hideMark/>
          </w:tcPr>
          <w:p w14:paraId="094805AA" w14:textId="77777777" w:rsidR="00AB02AD" w:rsidRPr="00663722" w:rsidRDefault="00AB02AD" w:rsidP="00470339">
            <w:pPr>
              <w:spacing w:line="360" w:lineRule="auto"/>
              <w:rPr>
                <w:sz w:val="20"/>
                <w:szCs w:val="20"/>
              </w:rPr>
            </w:pPr>
            <w:r w:rsidRPr="00663722">
              <w:rPr>
                <w:sz w:val="20"/>
                <w:szCs w:val="20"/>
              </w:rPr>
              <w:t>,679</w:t>
            </w:r>
          </w:p>
        </w:tc>
        <w:tc>
          <w:tcPr>
            <w:tcW w:w="812" w:type="pct"/>
            <w:hideMark/>
          </w:tcPr>
          <w:p w14:paraId="2B0E0248" w14:textId="77777777" w:rsidR="00AB02AD" w:rsidRPr="00663722" w:rsidRDefault="00AB02AD" w:rsidP="00470339">
            <w:pPr>
              <w:spacing w:line="360" w:lineRule="auto"/>
              <w:rPr>
                <w:sz w:val="20"/>
                <w:szCs w:val="20"/>
              </w:rPr>
            </w:pPr>
            <w:r w:rsidRPr="00663722">
              <w:rPr>
                <w:sz w:val="20"/>
                <w:szCs w:val="20"/>
              </w:rPr>
              <w:t>0,576-0,783</w:t>
            </w:r>
          </w:p>
        </w:tc>
        <w:tc>
          <w:tcPr>
            <w:tcW w:w="521" w:type="pct"/>
            <w:hideMark/>
          </w:tcPr>
          <w:p w14:paraId="537A4E7C" w14:textId="77777777" w:rsidR="00AB02AD" w:rsidRPr="00663722" w:rsidRDefault="00AB02AD" w:rsidP="00470339">
            <w:pPr>
              <w:spacing w:line="360" w:lineRule="auto"/>
              <w:rPr>
                <w:sz w:val="20"/>
                <w:szCs w:val="20"/>
              </w:rPr>
            </w:pPr>
            <w:r w:rsidRPr="00663722">
              <w:rPr>
                <w:sz w:val="20"/>
                <w:szCs w:val="20"/>
              </w:rPr>
              <w:t>,001**</w:t>
            </w:r>
          </w:p>
        </w:tc>
        <w:tc>
          <w:tcPr>
            <w:tcW w:w="1033" w:type="pct"/>
            <w:hideMark/>
          </w:tcPr>
          <w:p w14:paraId="1621CC15"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299EFDB9"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53786F9B"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42976F9E" w14:textId="77777777" w:rsidTr="00AB02AD">
        <w:tc>
          <w:tcPr>
            <w:tcW w:w="754" w:type="pct"/>
            <w:hideMark/>
          </w:tcPr>
          <w:p w14:paraId="1A4E2473" w14:textId="77777777" w:rsidR="00AB02AD" w:rsidRPr="00663722" w:rsidRDefault="00AB02AD" w:rsidP="00470339">
            <w:pPr>
              <w:spacing w:line="360" w:lineRule="auto"/>
              <w:rPr>
                <w:sz w:val="20"/>
                <w:szCs w:val="20"/>
              </w:rPr>
            </w:pPr>
            <w:r w:rsidRPr="00663722">
              <w:rPr>
                <w:sz w:val="20"/>
                <w:szCs w:val="20"/>
              </w:rPr>
              <w:t>Belirteç 3</w:t>
            </w:r>
          </w:p>
        </w:tc>
        <w:tc>
          <w:tcPr>
            <w:tcW w:w="440" w:type="pct"/>
            <w:hideMark/>
          </w:tcPr>
          <w:p w14:paraId="42D9062D" w14:textId="77777777" w:rsidR="00AB02AD" w:rsidRPr="00663722" w:rsidRDefault="00AB02AD" w:rsidP="00470339">
            <w:pPr>
              <w:spacing w:line="360" w:lineRule="auto"/>
              <w:rPr>
                <w:sz w:val="20"/>
                <w:szCs w:val="20"/>
              </w:rPr>
            </w:pPr>
            <w:r w:rsidRPr="00663722">
              <w:rPr>
                <w:sz w:val="20"/>
                <w:szCs w:val="20"/>
              </w:rPr>
              <w:t>,587</w:t>
            </w:r>
          </w:p>
        </w:tc>
        <w:tc>
          <w:tcPr>
            <w:tcW w:w="812" w:type="pct"/>
            <w:hideMark/>
          </w:tcPr>
          <w:p w14:paraId="1ACEC13E" w14:textId="77777777" w:rsidR="00AB02AD" w:rsidRPr="00663722" w:rsidRDefault="00AB02AD" w:rsidP="00470339">
            <w:pPr>
              <w:spacing w:line="360" w:lineRule="auto"/>
              <w:rPr>
                <w:sz w:val="20"/>
                <w:szCs w:val="20"/>
              </w:rPr>
            </w:pPr>
            <w:r w:rsidRPr="00663722">
              <w:rPr>
                <w:sz w:val="20"/>
                <w:szCs w:val="20"/>
              </w:rPr>
              <w:t>0,485-0,690</w:t>
            </w:r>
          </w:p>
        </w:tc>
        <w:tc>
          <w:tcPr>
            <w:tcW w:w="521" w:type="pct"/>
            <w:hideMark/>
          </w:tcPr>
          <w:p w14:paraId="08D839A6" w14:textId="77777777" w:rsidR="00AB02AD" w:rsidRPr="00663722" w:rsidRDefault="00AB02AD" w:rsidP="00470339">
            <w:pPr>
              <w:spacing w:line="360" w:lineRule="auto"/>
              <w:rPr>
                <w:sz w:val="20"/>
                <w:szCs w:val="20"/>
              </w:rPr>
            </w:pPr>
            <w:r w:rsidRPr="00663722">
              <w:rPr>
                <w:sz w:val="20"/>
                <w:szCs w:val="20"/>
              </w:rPr>
              <w:t>,099</w:t>
            </w:r>
          </w:p>
        </w:tc>
        <w:tc>
          <w:tcPr>
            <w:tcW w:w="1033" w:type="pct"/>
            <w:hideMark/>
          </w:tcPr>
          <w:p w14:paraId="6A284BC6"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26EFED28"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5D69E588"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1DD67BF4" w14:textId="77777777" w:rsidTr="00AB02AD">
        <w:tc>
          <w:tcPr>
            <w:tcW w:w="754" w:type="pct"/>
            <w:hideMark/>
          </w:tcPr>
          <w:p w14:paraId="46A1D8BD" w14:textId="77777777" w:rsidR="00AB02AD" w:rsidRPr="00663722" w:rsidRDefault="00AB02AD" w:rsidP="00470339">
            <w:pPr>
              <w:spacing w:line="360" w:lineRule="auto"/>
              <w:rPr>
                <w:sz w:val="20"/>
                <w:szCs w:val="20"/>
              </w:rPr>
            </w:pPr>
            <w:r w:rsidRPr="00663722">
              <w:rPr>
                <w:sz w:val="20"/>
                <w:szCs w:val="20"/>
              </w:rPr>
              <w:t>Belirteç 4</w:t>
            </w:r>
          </w:p>
        </w:tc>
        <w:tc>
          <w:tcPr>
            <w:tcW w:w="440" w:type="pct"/>
            <w:hideMark/>
          </w:tcPr>
          <w:p w14:paraId="4A04AA6B" w14:textId="77777777" w:rsidR="00AB02AD" w:rsidRPr="00663722" w:rsidRDefault="00AB02AD" w:rsidP="00470339">
            <w:pPr>
              <w:spacing w:line="360" w:lineRule="auto"/>
              <w:rPr>
                <w:sz w:val="20"/>
                <w:szCs w:val="20"/>
              </w:rPr>
            </w:pPr>
            <w:r w:rsidRPr="00663722">
              <w:rPr>
                <w:sz w:val="20"/>
                <w:szCs w:val="20"/>
              </w:rPr>
              <w:t>,654</w:t>
            </w:r>
          </w:p>
        </w:tc>
        <w:tc>
          <w:tcPr>
            <w:tcW w:w="812" w:type="pct"/>
            <w:hideMark/>
          </w:tcPr>
          <w:p w14:paraId="300AA9F5" w14:textId="77777777" w:rsidR="00AB02AD" w:rsidRPr="00663722" w:rsidRDefault="00AB02AD" w:rsidP="00470339">
            <w:pPr>
              <w:spacing w:line="360" w:lineRule="auto"/>
              <w:rPr>
                <w:sz w:val="20"/>
                <w:szCs w:val="20"/>
              </w:rPr>
            </w:pPr>
            <w:r w:rsidRPr="00663722">
              <w:rPr>
                <w:sz w:val="20"/>
                <w:szCs w:val="20"/>
              </w:rPr>
              <w:t>0,557-0,751</w:t>
            </w:r>
          </w:p>
        </w:tc>
        <w:tc>
          <w:tcPr>
            <w:tcW w:w="521" w:type="pct"/>
            <w:hideMark/>
          </w:tcPr>
          <w:p w14:paraId="2426E2BD" w14:textId="77777777" w:rsidR="00AB02AD" w:rsidRPr="00663722" w:rsidRDefault="00AB02AD" w:rsidP="00470339">
            <w:pPr>
              <w:spacing w:line="360" w:lineRule="auto"/>
              <w:rPr>
                <w:sz w:val="20"/>
                <w:szCs w:val="20"/>
              </w:rPr>
            </w:pPr>
            <w:r w:rsidRPr="00663722">
              <w:rPr>
                <w:sz w:val="20"/>
                <w:szCs w:val="20"/>
              </w:rPr>
              <w:t>,004**</w:t>
            </w:r>
          </w:p>
        </w:tc>
        <w:tc>
          <w:tcPr>
            <w:tcW w:w="1033" w:type="pct"/>
            <w:hideMark/>
          </w:tcPr>
          <w:p w14:paraId="02D5321F"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47F09159"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7304E51D"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442E5E69" w14:textId="77777777" w:rsidTr="00AB02AD">
        <w:tc>
          <w:tcPr>
            <w:tcW w:w="754" w:type="pct"/>
            <w:hideMark/>
          </w:tcPr>
          <w:p w14:paraId="485E0134" w14:textId="77777777" w:rsidR="00AB02AD" w:rsidRPr="00663722" w:rsidRDefault="00AB02AD" w:rsidP="00470339">
            <w:pPr>
              <w:spacing w:line="360" w:lineRule="auto"/>
              <w:rPr>
                <w:sz w:val="20"/>
                <w:szCs w:val="20"/>
              </w:rPr>
            </w:pPr>
            <w:r w:rsidRPr="00663722">
              <w:rPr>
                <w:sz w:val="20"/>
                <w:szCs w:val="20"/>
              </w:rPr>
              <w:t>Belirteç 5</w:t>
            </w:r>
          </w:p>
        </w:tc>
        <w:tc>
          <w:tcPr>
            <w:tcW w:w="440" w:type="pct"/>
            <w:hideMark/>
          </w:tcPr>
          <w:p w14:paraId="5960FF41" w14:textId="77777777" w:rsidR="00AB02AD" w:rsidRPr="00663722" w:rsidRDefault="00AB02AD" w:rsidP="00470339">
            <w:pPr>
              <w:spacing w:line="360" w:lineRule="auto"/>
              <w:rPr>
                <w:sz w:val="20"/>
                <w:szCs w:val="20"/>
              </w:rPr>
            </w:pPr>
            <w:r w:rsidRPr="00663722">
              <w:rPr>
                <w:sz w:val="20"/>
                <w:szCs w:val="20"/>
              </w:rPr>
              <w:t>,669</w:t>
            </w:r>
          </w:p>
        </w:tc>
        <w:tc>
          <w:tcPr>
            <w:tcW w:w="812" w:type="pct"/>
            <w:hideMark/>
          </w:tcPr>
          <w:p w14:paraId="792D58DF" w14:textId="77777777" w:rsidR="00AB02AD" w:rsidRPr="00663722" w:rsidRDefault="00AB02AD" w:rsidP="00470339">
            <w:pPr>
              <w:spacing w:line="360" w:lineRule="auto"/>
              <w:rPr>
                <w:sz w:val="20"/>
                <w:szCs w:val="20"/>
              </w:rPr>
            </w:pPr>
            <w:r w:rsidRPr="00663722">
              <w:rPr>
                <w:sz w:val="20"/>
                <w:szCs w:val="20"/>
              </w:rPr>
              <w:t>0,573-0,765</w:t>
            </w:r>
          </w:p>
        </w:tc>
        <w:tc>
          <w:tcPr>
            <w:tcW w:w="521" w:type="pct"/>
            <w:hideMark/>
          </w:tcPr>
          <w:p w14:paraId="5BB7514E" w14:textId="77777777" w:rsidR="00AB02AD" w:rsidRPr="00663722" w:rsidRDefault="00AB02AD" w:rsidP="00470339">
            <w:pPr>
              <w:spacing w:line="360" w:lineRule="auto"/>
              <w:rPr>
                <w:sz w:val="20"/>
                <w:szCs w:val="20"/>
              </w:rPr>
            </w:pPr>
            <w:r w:rsidRPr="00663722">
              <w:rPr>
                <w:sz w:val="20"/>
                <w:szCs w:val="20"/>
              </w:rPr>
              <w:t>,001**</w:t>
            </w:r>
          </w:p>
        </w:tc>
        <w:tc>
          <w:tcPr>
            <w:tcW w:w="1033" w:type="pct"/>
            <w:hideMark/>
          </w:tcPr>
          <w:p w14:paraId="22B70590"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625D3230"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2C5B4337"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1A4910C6" w14:textId="77777777" w:rsidTr="00AB02AD">
        <w:tc>
          <w:tcPr>
            <w:tcW w:w="754" w:type="pct"/>
            <w:hideMark/>
          </w:tcPr>
          <w:p w14:paraId="41E8BC49" w14:textId="77777777" w:rsidR="00AB02AD" w:rsidRPr="00663722" w:rsidRDefault="00AB02AD" w:rsidP="00470339">
            <w:pPr>
              <w:spacing w:line="360" w:lineRule="auto"/>
              <w:rPr>
                <w:sz w:val="20"/>
                <w:szCs w:val="20"/>
              </w:rPr>
            </w:pPr>
            <w:r w:rsidRPr="00663722">
              <w:rPr>
                <w:sz w:val="20"/>
                <w:szCs w:val="20"/>
              </w:rPr>
              <w:lastRenderedPageBreak/>
              <w:t>Belirteç 6</w:t>
            </w:r>
          </w:p>
        </w:tc>
        <w:tc>
          <w:tcPr>
            <w:tcW w:w="440" w:type="pct"/>
            <w:hideMark/>
          </w:tcPr>
          <w:p w14:paraId="188C03B4" w14:textId="77777777" w:rsidR="00AB02AD" w:rsidRPr="00663722" w:rsidRDefault="00AB02AD" w:rsidP="00470339">
            <w:pPr>
              <w:spacing w:line="360" w:lineRule="auto"/>
              <w:rPr>
                <w:sz w:val="20"/>
                <w:szCs w:val="20"/>
              </w:rPr>
            </w:pPr>
            <w:r w:rsidRPr="00663722">
              <w:rPr>
                <w:sz w:val="20"/>
                <w:szCs w:val="20"/>
              </w:rPr>
              <w:t>,396</w:t>
            </w:r>
          </w:p>
        </w:tc>
        <w:tc>
          <w:tcPr>
            <w:tcW w:w="812" w:type="pct"/>
            <w:hideMark/>
          </w:tcPr>
          <w:p w14:paraId="4E76D94C" w14:textId="77777777" w:rsidR="00AB02AD" w:rsidRPr="00663722" w:rsidRDefault="00AB02AD" w:rsidP="00470339">
            <w:pPr>
              <w:spacing w:line="360" w:lineRule="auto"/>
              <w:rPr>
                <w:sz w:val="20"/>
                <w:szCs w:val="20"/>
              </w:rPr>
            </w:pPr>
            <w:r w:rsidRPr="00663722">
              <w:rPr>
                <w:sz w:val="20"/>
                <w:szCs w:val="20"/>
              </w:rPr>
              <w:t>0,289-0,503</w:t>
            </w:r>
          </w:p>
        </w:tc>
        <w:tc>
          <w:tcPr>
            <w:tcW w:w="521" w:type="pct"/>
            <w:hideMark/>
          </w:tcPr>
          <w:p w14:paraId="407B0855" w14:textId="77777777" w:rsidR="00AB02AD" w:rsidRPr="00663722" w:rsidRDefault="00AB02AD" w:rsidP="00470339">
            <w:pPr>
              <w:spacing w:line="360" w:lineRule="auto"/>
              <w:rPr>
                <w:sz w:val="20"/>
                <w:szCs w:val="20"/>
              </w:rPr>
            </w:pPr>
            <w:r w:rsidRPr="00663722">
              <w:rPr>
                <w:sz w:val="20"/>
                <w:szCs w:val="20"/>
              </w:rPr>
              <w:t>,055</w:t>
            </w:r>
          </w:p>
        </w:tc>
        <w:tc>
          <w:tcPr>
            <w:tcW w:w="1033" w:type="pct"/>
            <w:hideMark/>
          </w:tcPr>
          <w:p w14:paraId="4AFB88E8"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2EC018EE"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1A89247A"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404E9C40" w14:textId="77777777" w:rsidTr="00AB02AD">
        <w:tc>
          <w:tcPr>
            <w:tcW w:w="754" w:type="pct"/>
            <w:hideMark/>
          </w:tcPr>
          <w:p w14:paraId="0015351B" w14:textId="77777777" w:rsidR="00AB02AD" w:rsidRPr="00663722" w:rsidRDefault="00AB02AD" w:rsidP="00470339">
            <w:pPr>
              <w:spacing w:line="360" w:lineRule="auto"/>
              <w:rPr>
                <w:sz w:val="20"/>
                <w:szCs w:val="20"/>
              </w:rPr>
            </w:pPr>
            <w:r w:rsidRPr="00663722">
              <w:rPr>
                <w:sz w:val="20"/>
                <w:szCs w:val="20"/>
              </w:rPr>
              <w:t>Belirteç 7</w:t>
            </w:r>
          </w:p>
        </w:tc>
        <w:tc>
          <w:tcPr>
            <w:tcW w:w="440" w:type="pct"/>
            <w:hideMark/>
          </w:tcPr>
          <w:p w14:paraId="48A2F0A0" w14:textId="77777777" w:rsidR="00AB02AD" w:rsidRPr="00663722" w:rsidRDefault="00AB02AD" w:rsidP="00470339">
            <w:pPr>
              <w:spacing w:line="360" w:lineRule="auto"/>
              <w:rPr>
                <w:sz w:val="20"/>
                <w:szCs w:val="20"/>
              </w:rPr>
            </w:pPr>
            <w:r w:rsidRPr="00663722">
              <w:rPr>
                <w:sz w:val="20"/>
                <w:szCs w:val="20"/>
              </w:rPr>
              <w:t>,410</w:t>
            </w:r>
          </w:p>
        </w:tc>
        <w:tc>
          <w:tcPr>
            <w:tcW w:w="812" w:type="pct"/>
            <w:hideMark/>
          </w:tcPr>
          <w:p w14:paraId="2DF5FD39" w14:textId="77777777" w:rsidR="00AB02AD" w:rsidRPr="00663722" w:rsidRDefault="00AB02AD" w:rsidP="00470339">
            <w:pPr>
              <w:spacing w:line="360" w:lineRule="auto"/>
              <w:rPr>
                <w:sz w:val="20"/>
                <w:szCs w:val="20"/>
              </w:rPr>
            </w:pPr>
            <w:r w:rsidRPr="00663722">
              <w:rPr>
                <w:sz w:val="20"/>
                <w:szCs w:val="20"/>
              </w:rPr>
              <w:t>0,308-0,512</w:t>
            </w:r>
          </w:p>
        </w:tc>
        <w:tc>
          <w:tcPr>
            <w:tcW w:w="521" w:type="pct"/>
            <w:hideMark/>
          </w:tcPr>
          <w:p w14:paraId="510045AE" w14:textId="77777777" w:rsidR="00AB02AD" w:rsidRPr="00663722" w:rsidRDefault="00AB02AD" w:rsidP="00470339">
            <w:pPr>
              <w:spacing w:line="360" w:lineRule="auto"/>
              <w:rPr>
                <w:sz w:val="20"/>
                <w:szCs w:val="20"/>
              </w:rPr>
            </w:pPr>
            <w:r w:rsidRPr="00663722">
              <w:rPr>
                <w:sz w:val="20"/>
                <w:szCs w:val="20"/>
              </w:rPr>
              <w:t>,089</w:t>
            </w:r>
          </w:p>
        </w:tc>
        <w:tc>
          <w:tcPr>
            <w:tcW w:w="1033" w:type="pct"/>
            <w:hideMark/>
          </w:tcPr>
          <w:p w14:paraId="127DF31D"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04E45D48"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47DB3A0B"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0257D1EA" w14:textId="77777777" w:rsidTr="00AB02AD">
        <w:tc>
          <w:tcPr>
            <w:tcW w:w="754" w:type="pct"/>
            <w:hideMark/>
          </w:tcPr>
          <w:p w14:paraId="22CD1E71" w14:textId="77777777" w:rsidR="00AB02AD" w:rsidRPr="00663722" w:rsidRDefault="00AB02AD" w:rsidP="00470339">
            <w:pPr>
              <w:spacing w:line="360" w:lineRule="auto"/>
              <w:rPr>
                <w:sz w:val="20"/>
                <w:szCs w:val="20"/>
              </w:rPr>
            </w:pPr>
            <w:r w:rsidRPr="00663722">
              <w:rPr>
                <w:sz w:val="20"/>
                <w:szCs w:val="20"/>
              </w:rPr>
              <w:t>Belirteç 8</w:t>
            </w:r>
          </w:p>
        </w:tc>
        <w:tc>
          <w:tcPr>
            <w:tcW w:w="440" w:type="pct"/>
            <w:hideMark/>
          </w:tcPr>
          <w:p w14:paraId="32158AB3" w14:textId="77777777" w:rsidR="00AB02AD" w:rsidRPr="00663722" w:rsidRDefault="00AB02AD" w:rsidP="00470339">
            <w:pPr>
              <w:spacing w:line="360" w:lineRule="auto"/>
              <w:rPr>
                <w:sz w:val="20"/>
                <w:szCs w:val="20"/>
              </w:rPr>
            </w:pPr>
            <w:r w:rsidRPr="00663722">
              <w:rPr>
                <w:sz w:val="20"/>
                <w:szCs w:val="20"/>
              </w:rPr>
              <w:t>,736</w:t>
            </w:r>
          </w:p>
        </w:tc>
        <w:tc>
          <w:tcPr>
            <w:tcW w:w="812" w:type="pct"/>
            <w:hideMark/>
          </w:tcPr>
          <w:p w14:paraId="7F76D0F6" w14:textId="77777777" w:rsidR="00AB02AD" w:rsidRPr="00663722" w:rsidRDefault="00AB02AD" w:rsidP="00470339">
            <w:pPr>
              <w:spacing w:line="360" w:lineRule="auto"/>
              <w:rPr>
                <w:sz w:val="20"/>
                <w:szCs w:val="20"/>
              </w:rPr>
            </w:pPr>
            <w:r w:rsidRPr="00663722">
              <w:rPr>
                <w:sz w:val="20"/>
                <w:szCs w:val="20"/>
              </w:rPr>
              <w:t>0,644-0,829</w:t>
            </w:r>
          </w:p>
        </w:tc>
        <w:tc>
          <w:tcPr>
            <w:tcW w:w="521" w:type="pct"/>
            <w:hideMark/>
          </w:tcPr>
          <w:p w14:paraId="0C3B68B4" w14:textId="77777777" w:rsidR="00AB02AD" w:rsidRPr="00663722" w:rsidRDefault="00AB02AD" w:rsidP="00470339">
            <w:pPr>
              <w:spacing w:line="360" w:lineRule="auto"/>
              <w:rPr>
                <w:sz w:val="20"/>
                <w:szCs w:val="20"/>
              </w:rPr>
            </w:pPr>
            <w:r w:rsidRPr="00663722">
              <w:rPr>
                <w:sz w:val="20"/>
                <w:szCs w:val="20"/>
              </w:rPr>
              <w:t>,000**</w:t>
            </w:r>
          </w:p>
        </w:tc>
        <w:tc>
          <w:tcPr>
            <w:tcW w:w="1033" w:type="pct"/>
            <w:hideMark/>
          </w:tcPr>
          <w:p w14:paraId="5E2C741E"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6A6F7B9C"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51E61245"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41369DA3" w14:textId="77777777" w:rsidTr="00AB02AD">
        <w:tc>
          <w:tcPr>
            <w:tcW w:w="754" w:type="pct"/>
            <w:hideMark/>
          </w:tcPr>
          <w:p w14:paraId="7E1CA03F" w14:textId="77777777" w:rsidR="00AB02AD" w:rsidRPr="00663722" w:rsidRDefault="00AB02AD" w:rsidP="00470339">
            <w:pPr>
              <w:spacing w:line="360" w:lineRule="auto"/>
              <w:rPr>
                <w:sz w:val="20"/>
                <w:szCs w:val="20"/>
              </w:rPr>
            </w:pPr>
            <w:r w:rsidRPr="00663722">
              <w:rPr>
                <w:sz w:val="20"/>
                <w:szCs w:val="20"/>
              </w:rPr>
              <w:t>Belirteç 9</w:t>
            </w:r>
          </w:p>
        </w:tc>
        <w:tc>
          <w:tcPr>
            <w:tcW w:w="440" w:type="pct"/>
            <w:hideMark/>
          </w:tcPr>
          <w:p w14:paraId="2B3C9178" w14:textId="77777777" w:rsidR="00AB02AD" w:rsidRPr="00663722" w:rsidRDefault="00AB02AD" w:rsidP="00470339">
            <w:pPr>
              <w:spacing w:line="360" w:lineRule="auto"/>
              <w:rPr>
                <w:sz w:val="20"/>
                <w:szCs w:val="20"/>
              </w:rPr>
            </w:pPr>
            <w:r w:rsidRPr="00663722">
              <w:rPr>
                <w:sz w:val="20"/>
                <w:szCs w:val="20"/>
              </w:rPr>
              <w:t>,695</w:t>
            </w:r>
          </w:p>
        </w:tc>
        <w:tc>
          <w:tcPr>
            <w:tcW w:w="812" w:type="pct"/>
            <w:hideMark/>
          </w:tcPr>
          <w:p w14:paraId="4DA5674F" w14:textId="77777777" w:rsidR="00AB02AD" w:rsidRPr="00663722" w:rsidRDefault="00AB02AD" w:rsidP="00470339">
            <w:pPr>
              <w:spacing w:line="360" w:lineRule="auto"/>
              <w:rPr>
                <w:sz w:val="20"/>
                <w:szCs w:val="20"/>
              </w:rPr>
            </w:pPr>
            <w:r w:rsidRPr="00663722">
              <w:rPr>
                <w:sz w:val="20"/>
                <w:szCs w:val="20"/>
              </w:rPr>
              <w:t>0,596-0,793</w:t>
            </w:r>
          </w:p>
        </w:tc>
        <w:tc>
          <w:tcPr>
            <w:tcW w:w="521" w:type="pct"/>
            <w:hideMark/>
          </w:tcPr>
          <w:p w14:paraId="5D791CD0" w14:textId="77777777" w:rsidR="00AB02AD" w:rsidRPr="00663722" w:rsidRDefault="00AB02AD" w:rsidP="00470339">
            <w:pPr>
              <w:spacing w:line="360" w:lineRule="auto"/>
              <w:rPr>
                <w:sz w:val="20"/>
                <w:szCs w:val="20"/>
              </w:rPr>
            </w:pPr>
            <w:r w:rsidRPr="00663722">
              <w:rPr>
                <w:sz w:val="20"/>
                <w:szCs w:val="20"/>
              </w:rPr>
              <w:t>,000**</w:t>
            </w:r>
          </w:p>
        </w:tc>
        <w:tc>
          <w:tcPr>
            <w:tcW w:w="1033" w:type="pct"/>
            <w:hideMark/>
          </w:tcPr>
          <w:p w14:paraId="0A532C9C"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33E3165E"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29DDE8BF"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234ED7EF" w14:textId="77777777" w:rsidTr="00AB02AD">
        <w:tc>
          <w:tcPr>
            <w:tcW w:w="754" w:type="pct"/>
            <w:hideMark/>
          </w:tcPr>
          <w:p w14:paraId="674A3D2B" w14:textId="77777777" w:rsidR="00AB02AD" w:rsidRPr="00663722" w:rsidRDefault="00AB02AD" w:rsidP="00470339">
            <w:pPr>
              <w:spacing w:line="360" w:lineRule="auto"/>
              <w:rPr>
                <w:sz w:val="20"/>
                <w:szCs w:val="20"/>
              </w:rPr>
            </w:pPr>
            <w:r w:rsidRPr="00663722">
              <w:rPr>
                <w:sz w:val="20"/>
                <w:szCs w:val="20"/>
              </w:rPr>
              <w:t>Belirteç 10</w:t>
            </w:r>
          </w:p>
        </w:tc>
        <w:tc>
          <w:tcPr>
            <w:tcW w:w="440" w:type="pct"/>
            <w:hideMark/>
          </w:tcPr>
          <w:p w14:paraId="26199B5A" w14:textId="77777777" w:rsidR="00AB02AD" w:rsidRPr="00663722" w:rsidRDefault="00AB02AD" w:rsidP="00470339">
            <w:pPr>
              <w:spacing w:line="360" w:lineRule="auto"/>
              <w:rPr>
                <w:sz w:val="20"/>
                <w:szCs w:val="20"/>
              </w:rPr>
            </w:pPr>
            <w:r w:rsidRPr="00663722">
              <w:rPr>
                <w:sz w:val="20"/>
                <w:szCs w:val="20"/>
              </w:rPr>
              <w:t>,725</w:t>
            </w:r>
          </w:p>
        </w:tc>
        <w:tc>
          <w:tcPr>
            <w:tcW w:w="812" w:type="pct"/>
            <w:hideMark/>
          </w:tcPr>
          <w:p w14:paraId="3F69816B" w14:textId="77777777" w:rsidR="00AB02AD" w:rsidRPr="00663722" w:rsidRDefault="00AB02AD" w:rsidP="00470339">
            <w:pPr>
              <w:spacing w:line="360" w:lineRule="auto"/>
              <w:rPr>
                <w:sz w:val="20"/>
                <w:szCs w:val="20"/>
              </w:rPr>
            </w:pPr>
            <w:r w:rsidRPr="00663722">
              <w:rPr>
                <w:sz w:val="20"/>
                <w:szCs w:val="20"/>
              </w:rPr>
              <w:t>0,631-0,819</w:t>
            </w:r>
          </w:p>
        </w:tc>
        <w:tc>
          <w:tcPr>
            <w:tcW w:w="521" w:type="pct"/>
            <w:hideMark/>
          </w:tcPr>
          <w:p w14:paraId="4D96C8C7" w14:textId="77777777" w:rsidR="00AB02AD" w:rsidRPr="00663722" w:rsidRDefault="00AB02AD" w:rsidP="00470339">
            <w:pPr>
              <w:spacing w:line="360" w:lineRule="auto"/>
              <w:rPr>
                <w:sz w:val="20"/>
                <w:szCs w:val="20"/>
              </w:rPr>
            </w:pPr>
            <w:r w:rsidRPr="00663722">
              <w:rPr>
                <w:sz w:val="20"/>
                <w:szCs w:val="20"/>
              </w:rPr>
              <w:t>,000**</w:t>
            </w:r>
          </w:p>
        </w:tc>
        <w:tc>
          <w:tcPr>
            <w:tcW w:w="1033" w:type="pct"/>
            <w:hideMark/>
          </w:tcPr>
          <w:p w14:paraId="2CA14B24"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42CC7D8B"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39F912B1"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5A904431" w14:textId="77777777" w:rsidTr="00AB02AD">
        <w:tc>
          <w:tcPr>
            <w:tcW w:w="754" w:type="pct"/>
            <w:hideMark/>
          </w:tcPr>
          <w:p w14:paraId="22BEB82E" w14:textId="77777777" w:rsidR="00AB02AD" w:rsidRPr="00663722" w:rsidRDefault="00AB02AD" w:rsidP="00470339">
            <w:pPr>
              <w:spacing w:line="360" w:lineRule="auto"/>
              <w:rPr>
                <w:sz w:val="20"/>
                <w:szCs w:val="20"/>
              </w:rPr>
            </w:pPr>
            <w:r w:rsidRPr="00663722">
              <w:rPr>
                <w:sz w:val="20"/>
                <w:szCs w:val="20"/>
              </w:rPr>
              <w:t>Belirteç 11</w:t>
            </w:r>
          </w:p>
        </w:tc>
        <w:tc>
          <w:tcPr>
            <w:tcW w:w="440" w:type="pct"/>
            <w:hideMark/>
          </w:tcPr>
          <w:p w14:paraId="09AC73B6" w14:textId="77777777" w:rsidR="00AB02AD" w:rsidRPr="00663722" w:rsidRDefault="00AB02AD" w:rsidP="00470339">
            <w:pPr>
              <w:spacing w:line="360" w:lineRule="auto"/>
              <w:rPr>
                <w:sz w:val="20"/>
                <w:szCs w:val="20"/>
              </w:rPr>
            </w:pPr>
            <w:r w:rsidRPr="00663722">
              <w:rPr>
                <w:sz w:val="20"/>
                <w:szCs w:val="20"/>
              </w:rPr>
              <w:t>,726</w:t>
            </w:r>
          </w:p>
        </w:tc>
        <w:tc>
          <w:tcPr>
            <w:tcW w:w="812" w:type="pct"/>
            <w:hideMark/>
          </w:tcPr>
          <w:p w14:paraId="37DFCD08" w14:textId="77777777" w:rsidR="00AB02AD" w:rsidRPr="00663722" w:rsidRDefault="00AB02AD" w:rsidP="00470339">
            <w:pPr>
              <w:spacing w:line="360" w:lineRule="auto"/>
              <w:rPr>
                <w:sz w:val="20"/>
                <w:szCs w:val="20"/>
              </w:rPr>
            </w:pPr>
            <w:r w:rsidRPr="00663722">
              <w:rPr>
                <w:sz w:val="20"/>
                <w:szCs w:val="20"/>
              </w:rPr>
              <w:t>0,634-0,817</w:t>
            </w:r>
          </w:p>
        </w:tc>
        <w:tc>
          <w:tcPr>
            <w:tcW w:w="521" w:type="pct"/>
            <w:hideMark/>
          </w:tcPr>
          <w:p w14:paraId="1FC9836D" w14:textId="77777777" w:rsidR="00AB02AD" w:rsidRPr="00663722" w:rsidRDefault="00AB02AD" w:rsidP="00470339">
            <w:pPr>
              <w:spacing w:line="360" w:lineRule="auto"/>
              <w:rPr>
                <w:sz w:val="20"/>
                <w:szCs w:val="20"/>
              </w:rPr>
            </w:pPr>
            <w:r w:rsidRPr="00663722">
              <w:rPr>
                <w:sz w:val="20"/>
                <w:szCs w:val="20"/>
              </w:rPr>
              <w:t>,000**</w:t>
            </w:r>
          </w:p>
        </w:tc>
        <w:tc>
          <w:tcPr>
            <w:tcW w:w="1033" w:type="pct"/>
            <w:hideMark/>
          </w:tcPr>
          <w:p w14:paraId="10C3A612" w14:textId="77777777" w:rsidR="00AB02AD" w:rsidRPr="00663722" w:rsidRDefault="00AB02AD" w:rsidP="00470339">
            <w:pPr>
              <w:spacing w:line="360" w:lineRule="auto"/>
              <w:rPr>
                <w:sz w:val="20"/>
                <w:szCs w:val="20"/>
              </w:rPr>
            </w:pPr>
            <w:r w:rsidRPr="00663722">
              <w:rPr>
                <w:sz w:val="20"/>
                <w:szCs w:val="20"/>
              </w:rPr>
              <w:t>xxx</w:t>
            </w:r>
          </w:p>
        </w:tc>
        <w:tc>
          <w:tcPr>
            <w:tcW w:w="750" w:type="pct"/>
            <w:hideMark/>
          </w:tcPr>
          <w:p w14:paraId="3CC6C03B" w14:textId="77777777" w:rsidR="00AB02AD" w:rsidRPr="00663722" w:rsidRDefault="00AB02AD" w:rsidP="00470339">
            <w:pPr>
              <w:spacing w:line="360" w:lineRule="auto"/>
              <w:rPr>
                <w:sz w:val="20"/>
                <w:szCs w:val="20"/>
              </w:rPr>
            </w:pPr>
            <w:r w:rsidRPr="00663722">
              <w:rPr>
                <w:sz w:val="20"/>
                <w:szCs w:val="20"/>
              </w:rPr>
              <w:t>xxx</w:t>
            </w:r>
          </w:p>
        </w:tc>
        <w:tc>
          <w:tcPr>
            <w:tcW w:w="689" w:type="pct"/>
            <w:hideMark/>
          </w:tcPr>
          <w:p w14:paraId="2FC95A0C" w14:textId="77777777" w:rsidR="00AB02AD" w:rsidRPr="00663722" w:rsidRDefault="00AB02AD" w:rsidP="00470339">
            <w:pPr>
              <w:spacing w:line="360" w:lineRule="auto"/>
              <w:rPr>
                <w:sz w:val="20"/>
                <w:szCs w:val="20"/>
              </w:rPr>
            </w:pPr>
            <w:r w:rsidRPr="00663722">
              <w:rPr>
                <w:sz w:val="20"/>
                <w:szCs w:val="20"/>
              </w:rPr>
              <w:t>xxx</w:t>
            </w:r>
          </w:p>
        </w:tc>
      </w:tr>
      <w:tr w:rsidR="00AB02AD" w:rsidRPr="00663722" w14:paraId="1B14987B" w14:textId="77777777" w:rsidTr="00AB02AD">
        <w:tc>
          <w:tcPr>
            <w:tcW w:w="754" w:type="pct"/>
            <w:hideMark/>
          </w:tcPr>
          <w:p w14:paraId="6B94F0BA" w14:textId="77777777" w:rsidR="00AB02AD" w:rsidRPr="00663722" w:rsidRDefault="00AB02AD" w:rsidP="00470339">
            <w:pPr>
              <w:spacing w:line="360" w:lineRule="auto"/>
              <w:rPr>
                <w:sz w:val="20"/>
                <w:szCs w:val="20"/>
              </w:rPr>
            </w:pPr>
            <w:r w:rsidRPr="00663722">
              <w:rPr>
                <w:sz w:val="20"/>
                <w:szCs w:val="20"/>
              </w:rPr>
              <w:t>Belirteç 12</w:t>
            </w:r>
          </w:p>
        </w:tc>
        <w:tc>
          <w:tcPr>
            <w:tcW w:w="440" w:type="pct"/>
            <w:hideMark/>
          </w:tcPr>
          <w:p w14:paraId="4BE4031C" w14:textId="77777777" w:rsidR="00AB02AD" w:rsidRPr="00663722" w:rsidRDefault="00AB02AD" w:rsidP="00470339">
            <w:pPr>
              <w:spacing w:line="360" w:lineRule="auto"/>
              <w:rPr>
                <w:sz w:val="20"/>
                <w:szCs w:val="20"/>
              </w:rPr>
            </w:pPr>
            <w:r w:rsidRPr="00663722">
              <w:rPr>
                <w:sz w:val="20"/>
                <w:szCs w:val="20"/>
              </w:rPr>
              <w:t>,511</w:t>
            </w:r>
          </w:p>
        </w:tc>
        <w:tc>
          <w:tcPr>
            <w:tcW w:w="812" w:type="pct"/>
            <w:hideMark/>
          </w:tcPr>
          <w:p w14:paraId="05582676" w14:textId="77777777" w:rsidR="00AB02AD" w:rsidRPr="00663722" w:rsidRDefault="00AB02AD" w:rsidP="00470339">
            <w:pPr>
              <w:spacing w:line="360" w:lineRule="auto"/>
              <w:rPr>
                <w:sz w:val="20"/>
                <w:szCs w:val="20"/>
              </w:rPr>
            </w:pPr>
            <w:r w:rsidRPr="00663722">
              <w:rPr>
                <w:sz w:val="20"/>
                <w:szCs w:val="20"/>
              </w:rPr>
              <w:t>0,399-0,624</w:t>
            </w:r>
          </w:p>
        </w:tc>
        <w:tc>
          <w:tcPr>
            <w:tcW w:w="521" w:type="pct"/>
            <w:hideMark/>
          </w:tcPr>
          <w:p w14:paraId="21C835D1" w14:textId="77777777" w:rsidR="00AB02AD" w:rsidRPr="00663722" w:rsidRDefault="00AB02AD" w:rsidP="00470339">
            <w:pPr>
              <w:spacing w:line="360" w:lineRule="auto"/>
              <w:rPr>
                <w:sz w:val="20"/>
                <w:szCs w:val="20"/>
              </w:rPr>
            </w:pPr>
          </w:p>
        </w:tc>
        <w:tc>
          <w:tcPr>
            <w:tcW w:w="1033" w:type="pct"/>
            <w:hideMark/>
          </w:tcPr>
          <w:p w14:paraId="18C54834" w14:textId="77777777" w:rsidR="00AB02AD" w:rsidRPr="00663722" w:rsidRDefault="00AB02AD" w:rsidP="00470339">
            <w:pPr>
              <w:spacing w:line="360" w:lineRule="auto"/>
              <w:rPr>
                <w:sz w:val="20"/>
                <w:szCs w:val="20"/>
              </w:rPr>
            </w:pPr>
          </w:p>
        </w:tc>
        <w:tc>
          <w:tcPr>
            <w:tcW w:w="750" w:type="pct"/>
            <w:hideMark/>
          </w:tcPr>
          <w:p w14:paraId="636FABFC" w14:textId="77777777" w:rsidR="00AB02AD" w:rsidRPr="00663722" w:rsidRDefault="00AB02AD" w:rsidP="00470339">
            <w:pPr>
              <w:spacing w:line="360" w:lineRule="auto"/>
              <w:rPr>
                <w:sz w:val="20"/>
                <w:szCs w:val="20"/>
              </w:rPr>
            </w:pPr>
          </w:p>
        </w:tc>
        <w:tc>
          <w:tcPr>
            <w:tcW w:w="689" w:type="pct"/>
            <w:hideMark/>
          </w:tcPr>
          <w:p w14:paraId="4E25CC1F" w14:textId="77777777" w:rsidR="00AB02AD" w:rsidRPr="00663722" w:rsidRDefault="00AB02AD" w:rsidP="00470339">
            <w:pPr>
              <w:spacing w:line="360" w:lineRule="auto"/>
              <w:rPr>
                <w:sz w:val="20"/>
                <w:szCs w:val="20"/>
              </w:rPr>
            </w:pPr>
          </w:p>
        </w:tc>
      </w:tr>
    </w:tbl>
    <w:p w14:paraId="1C6E0A5C" w14:textId="321D2149" w:rsidR="00AB02AD" w:rsidRPr="00663722" w:rsidRDefault="00AB02AD" w:rsidP="00470339">
      <w:pPr>
        <w:spacing w:line="360" w:lineRule="auto"/>
        <w:jc w:val="both"/>
        <w:rPr>
          <w:rFonts w:eastAsia="Calibri"/>
          <w:sz w:val="22"/>
          <w:szCs w:val="22"/>
          <w:lang w:eastAsia="en-US"/>
        </w:rPr>
      </w:pPr>
      <w:r w:rsidRPr="00663722">
        <w:rPr>
          <w:rFonts w:eastAsia="Calibri"/>
          <w:sz w:val="22"/>
          <w:szCs w:val="22"/>
          <w:lang w:eastAsia="en-US"/>
        </w:rPr>
        <w:t>AUC: Eğri Altında Kalan Alan güven aralığı</w:t>
      </w:r>
    </w:p>
    <w:p w14:paraId="793D7353" w14:textId="482A3D2E" w:rsidR="00AB02AD" w:rsidRPr="00663722" w:rsidRDefault="00AB02AD" w:rsidP="00470339">
      <w:pPr>
        <w:spacing w:line="360" w:lineRule="auto"/>
        <w:jc w:val="both"/>
        <w:rPr>
          <w:rFonts w:eastAsia="Aptos"/>
          <w:kern w:val="2"/>
          <w:sz w:val="22"/>
          <w:szCs w:val="22"/>
          <w:lang w:eastAsia="en-US"/>
          <w14:ligatures w14:val="standardContextual"/>
        </w:rPr>
      </w:pPr>
      <w:r w:rsidRPr="00663722">
        <w:rPr>
          <w:rFonts w:eastAsia="Aptos"/>
          <w:kern w:val="2"/>
          <w:sz w:val="22"/>
          <w:szCs w:val="22"/>
          <w:lang w:eastAsia="en-US"/>
          <w14:ligatures w14:val="standardContextual"/>
        </w:rPr>
        <w:t>ROC a</w:t>
      </w:r>
      <w:r w:rsidRPr="00663722">
        <w:rPr>
          <w:sz w:val="22"/>
          <w:szCs w:val="22"/>
        </w:rPr>
        <w:t xml:space="preserve"> </w:t>
      </w:r>
      <w:r w:rsidRPr="00663722">
        <w:rPr>
          <w:rFonts w:eastAsia="Aptos"/>
          <w:kern w:val="2"/>
          <w:sz w:val="22"/>
          <w:szCs w:val="22"/>
          <w:lang w:eastAsia="en-US"/>
          <w14:ligatures w14:val="standardContextual"/>
        </w:rPr>
        <w:t>nalizi sonuçlarına göre, en yüksek AUC değerine sahip prognostik belirteç Belirteç 8 olarak belirlenmiştir (AUC = 0,736; p &lt; 0,001). Bu belirteç için optimal kesme noktası xxx olarak saptanmış ve bu değerde duyarlılık xxx, özgüllük xxx olarak bulunmuştur.</w:t>
      </w:r>
    </w:p>
    <w:p w14:paraId="457E2F90" w14:textId="77777777" w:rsidR="00AB02AD" w:rsidRPr="00663722" w:rsidRDefault="00AB02AD" w:rsidP="00470339">
      <w:pPr>
        <w:spacing w:line="360" w:lineRule="auto"/>
        <w:jc w:val="both"/>
        <w:rPr>
          <w:rFonts w:eastAsia="Aptos"/>
          <w:kern w:val="2"/>
          <w:sz w:val="22"/>
          <w:szCs w:val="22"/>
          <w:lang w:eastAsia="en-US"/>
          <w14:ligatures w14:val="standardContextual"/>
        </w:rPr>
      </w:pPr>
      <w:r w:rsidRPr="00663722">
        <w:rPr>
          <w:rFonts w:eastAsia="Aptos"/>
          <w:kern w:val="2"/>
          <w:sz w:val="22"/>
          <w:szCs w:val="22"/>
          <w:lang w:eastAsia="en-US"/>
          <w14:ligatures w14:val="standardContextual"/>
        </w:rPr>
        <w:t>Belirteç 11 de mortaliteyi öngörmede yüksek performans göstermiş ve AUC değeri 0,726 (p &lt; 0,001) olarak belirlenmiştir. Bu belirteç için optimal kesme noktası xxx olarak saptanmış ve bu değerde duyarlılık xxx, özgüllük xxx olarak bulunmuştur.</w:t>
      </w:r>
    </w:p>
    <w:p w14:paraId="12B409B4" w14:textId="624A7687" w:rsidR="00AB02AD" w:rsidRPr="00663722" w:rsidRDefault="00AB02AD" w:rsidP="00470339">
      <w:pPr>
        <w:spacing w:line="360" w:lineRule="auto"/>
        <w:jc w:val="both"/>
        <w:rPr>
          <w:rFonts w:eastAsia="Aptos"/>
          <w:kern w:val="2"/>
          <w:sz w:val="22"/>
          <w:szCs w:val="22"/>
          <w:lang w:eastAsia="en-US"/>
          <w14:ligatures w14:val="standardContextual"/>
        </w:rPr>
      </w:pPr>
      <w:r w:rsidRPr="00663722">
        <w:rPr>
          <w:rFonts w:eastAsia="Aptos"/>
          <w:kern w:val="2"/>
          <w:sz w:val="22"/>
          <w:szCs w:val="22"/>
          <w:lang w:eastAsia="en-US"/>
          <w14:ligatures w14:val="standardContextual"/>
        </w:rPr>
        <w:t>Belirteç 10 da benzer şekilde yüksek performans göstermiş ve AUC değeri 0,725 (p &lt; 0,001) olarak belirlenmiştir. Bu belirteç için optimal kesme noktası xxx olarak saptanmış ve bu değerde duyarlılık xxx, özgüllük xxx olarak bulunmuştur.</w:t>
      </w:r>
    </w:p>
    <w:p w14:paraId="1FE4EEA6" w14:textId="77777777" w:rsidR="00AB02AD" w:rsidRPr="00663722" w:rsidRDefault="00AB02AD" w:rsidP="00470339">
      <w:pPr>
        <w:spacing w:line="360" w:lineRule="auto"/>
        <w:jc w:val="both"/>
        <w:rPr>
          <w:rFonts w:eastAsia="Aptos"/>
          <w:kern w:val="2"/>
          <w:sz w:val="22"/>
          <w:szCs w:val="22"/>
          <w:lang w:eastAsia="en-US"/>
          <w14:ligatures w14:val="standardContextual"/>
        </w:rPr>
      </w:pPr>
      <w:r w:rsidRPr="00663722">
        <w:rPr>
          <w:rFonts w:eastAsia="Aptos"/>
          <w:noProof/>
          <w:kern w:val="2"/>
          <w:sz w:val="22"/>
          <w:szCs w:val="22"/>
          <w:lang w:eastAsia="en-US"/>
          <w14:ligatures w14:val="standardContextual"/>
        </w:rPr>
        <w:drawing>
          <wp:inline distT="0" distB="0" distL="0" distR="0" wp14:anchorId="318CC049" wp14:editId="7FB97AEB">
            <wp:extent cx="5758815" cy="4140000"/>
            <wp:effectExtent l="0" t="0" r="0" b="0"/>
            <wp:docPr id="1210122157" name="Resim 2" descr="metin, diyagram, çizgi, pla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122157" name="Resim 2" descr="metin, diyagram, çizgi, plan içeren bir resim&#10;&#10;Yapay zeka tarafından oluşturulmuş içerik yanlış olabilir."/>
                    <pic:cNvPicPr>
                      <a:picLocks noChangeAspect="1" noChangeArrowheads="1"/>
                    </pic:cNvPicPr>
                  </pic:nvPicPr>
                  <pic:blipFill rotWithShape="1">
                    <a:blip r:embed="rId7">
                      <a:extLst>
                        <a:ext uri="{28A0092B-C50C-407E-A947-70E740481C1C}">
                          <a14:useLocalDpi xmlns:a14="http://schemas.microsoft.com/office/drawing/2010/main" val="0"/>
                        </a:ext>
                      </a:extLst>
                    </a:blip>
                    <a:srcRect l="10716" t="2762" r="10683" b="2245"/>
                    <a:stretch/>
                  </pic:blipFill>
                  <pic:spPr bwMode="auto">
                    <a:xfrm>
                      <a:off x="0" y="0"/>
                      <a:ext cx="5758815" cy="4140000"/>
                    </a:xfrm>
                    <a:prstGeom prst="rect">
                      <a:avLst/>
                    </a:prstGeom>
                    <a:noFill/>
                    <a:ln>
                      <a:noFill/>
                    </a:ln>
                    <a:extLst>
                      <a:ext uri="{53640926-AAD7-44D8-BBD7-CCE9431645EC}">
                        <a14:shadowObscured xmlns:a14="http://schemas.microsoft.com/office/drawing/2010/main"/>
                      </a:ext>
                    </a:extLst>
                  </pic:spPr>
                </pic:pic>
              </a:graphicData>
            </a:graphic>
          </wp:inline>
        </w:drawing>
      </w:r>
    </w:p>
    <w:p w14:paraId="2CA408E2" w14:textId="77777777" w:rsidR="00AB02AD" w:rsidRPr="00663722" w:rsidRDefault="00AB02AD" w:rsidP="00470339">
      <w:pPr>
        <w:pStyle w:val="EKL"/>
        <w:ind w:left="0" w:firstLine="0"/>
        <w:rPr>
          <w:rFonts w:eastAsia="Aptos"/>
          <w:i w:val="0"/>
          <w:sz w:val="22"/>
          <w:szCs w:val="22"/>
          <w:lang w:eastAsia="en-US"/>
        </w:rPr>
      </w:pPr>
      <w:r w:rsidRPr="00663722">
        <w:rPr>
          <w:rFonts w:eastAsia="Aptos"/>
          <w:i w:val="0"/>
          <w:sz w:val="22"/>
          <w:szCs w:val="22"/>
          <w:lang w:eastAsia="en-US"/>
        </w:rPr>
        <w:t xml:space="preserve">           </w:t>
      </w:r>
      <w:bookmarkStart w:id="3" w:name="_Toc220029249"/>
      <w:r w:rsidRPr="00663722">
        <w:rPr>
          <w:rFonts w:eastAsia="Aptos"/>
          <w:i w:val="0"/>
          <w:sz w:val="22"/>
          <w:szCs w:val="22"/>
          <w:lang w:eastAsia="en-US"/>
        </w:rPr>
        <w:t>Şekil 2. Prognostik Belirteçlerin Mortaliteyi Öngörmedeki ROC Eğrileri</w:t>
      </w:r>
      <w:bookmarkEnd w:id="3"/>
    </w:p>
    <w:p w14:paraId="2BF590E2" w14:textId="77777777" w:rsidR="00AB02AD" w:rsidRPr="00663722" w:rsidRDefault="00AB02AD" w:rsidP="00470339">
      <w:pPr>
        <w:spacing w:line="360" w:lineRule="auto"/>
        <w:jc w:val="both"/>
        <w:rPr>
          <w:rFonts w:eastAsia="Aptos"/>
          <w:kern w:val="2"/>
          <w:sz w:val="22"/>
          <w:szCs w:val="22"/>
          <w:lang w:eastAsia="en-US"/>
          <w14:ligatures w14:val="standardContextual"/>
        </w:rPr>
      </w:pPr>
    </w:p>
    <w:p w14:paraId="35BB2D3A" w14:textId="15BC15F5" w:rsidR="00AB02AD" w:rsidRPr="00663722" w:rsidRDefault="00AB02AD" w:rsidP="00470339">
      <w:pPr>
        <w:spacing w:line="360" w:lineRule="auto"/>
        <w:jc w:val="both"/>
        <w:rPr>
          <w:rFonts w:eastAsia="Aptos"/>
          <w:spacing w:val="-4"/>
          <w:kern w:val="2"/>
          <w:sz w:val="22"/>
          <w:szCs w:val="22"/>
          <w:lang w:eastAsia="en-US"/>
          <w14:ligatures w14:val="standardContextual"/>
        </w:rPr>
      </w:pPr>
      <w:r w:rsidRPr="00663722">
        <w:rPr>
          <w:rFonts w:eastAsia="Aptos"/>
          <w:spacing w:val="-4"/>
          <w:kern w:val="2"/>
          <w:sz w:val="22"/>
          <w:szCs w:val="22"/>
          <w:lang w:eastAsia="en-US"/>
          <w14:ligatures w14:val="standardContextual"/>
        </w:rPr>
        <w:lastRenderedPageBreak/>
        <w:t>Belirteç 1 düzeyinin AUC değeri 0,697 (%95 GA: 0,597-0,797; p &lt; 0,001) olarak belirlenmiştir. Bu belirteç için optimal kesme noktası xxx olarak saptanmış ve bu değerde duyarlılık xxx, özgüllük xxx olarak bulunmuştur.</w:t>
      </w:r>
      <w:r w:rsidR="00470339" w:rsidRPr="00663722">
        <w:rPr>
          <w:rFonts w:eastAsia="Aptos"/>
          <w:spacing w:val="-4"/>
          <w:kern w:val="2"/>
          <w:sz w:val="22"/>
          <w:szCs w:val="22"/>
          <w:lang w:eastAsia="en-US"/>
          <w14:ligatures w14:val="standardContextual"/>
        </w:rPr>
        <w:t xml:space="preserve"> </w:t>
      </w:r>
      <w:r w:rsidRPr="00663722">
        <w:rPr>
          <w:rFonts w:eastAsia="Aptos"/>
          <w:spacing w:val="-4"/>
          <w:kern w:val="2"/>
          <w:sz w:val="22"/>
          <w:szCs w:val="22"/>
          <w:lang w:eastAsia="en-US"/>
          <w14:ligatures w14:val="standardContextual"/>
        </w:rPr>
        <w:t>Sonuç olarak, ROC analizi bulgularına göre mortaliteyi öngörmede en güçlü performansa sahip prognostik belirteçler Belirteç 8 (AUC = 0,736), Belirteç 11 (AUC = 0,726), Belirteç 10 (AUC = 0,725) ve Belirteç 1 (AUC = 0,697) olarak belirlenmiştir (Tablo 6). Bu dört belirteç, mortalite öngörüsünde kabul edilebilir düzeyde ayırt edici güce sahip olup, özellikle yaygın kullanılan belirteçlerin klinik pratikteki uygulanabilirliği dikkat çekicidir.</w:t>
      </w:r>
    </w:p>
    <w:p w14:paraId="68C2D825" w14:textId="77777777" w:rsidR="00AB02AD" w:rsidRPr="00663722" w:rsidRDefault="00AB02AD" w:rsidP="00470339">
      <w:pPr>
        <w:spacing w:line="360" w:lineRule="auto"/>
        <w:jc w:val="both"/>
        <w:rPr>
          <w:rFonts w:eastAsia="Aptos"/>
          <w:spacing w:val="-4"/>
          <w:kern w:val="2"/>
          <w:sz w:val="22"/>
          <w:szCs w:val="22"/>
          <w:lang w:eastAsia="en-US"/>
          <w14:ligatures w14:val="standardContextual"/>
        </w:rPr>
      </w:pPr>
      <w:r w:rsidRPr="00663722">
        <w:rPr>
          <w:rFonts w:eastAsia="Aptos"/>
          <w:spacing w:val="-4"/>
          <w:kern w:val="2"/>
          <w:sz w:val="22"/>
          <w:szCs w:val="22"/>
          <w:lang w:eastAsia="en-US"/>
          <w14:ligatures w14:val="standardContextual"/>
        </w:rPr>
        <w:t>Belirteç 9 (AUC = 0,695), Belirteç 2 (AUC = 0,679), Belirteç 5 (AUC = 0,669) ve Belirteç 4 (AUC = 0,654) mortaliteyi öngörmede istatistiksel olarak anlamlı performans gösteren diğer belirteçler olarak tespit edilmiştir. Buna karşın Belirteç 3, Belirteç 12, Belirteç 6 ve Belirteç 7 mortaliteyi öngörmede anlamlı bir ayırt edici güce sahip olmamıştır (Tablo 6).</w:t>
      </w:r>
    </w:p>
    <w:p w14:paraId="47B7EDE8" w14:textId="6AF62897" w:rsidR="00A20822" w:rsidRPr="00663722" w:rsidRDefault="00AB02AD" w:rsidP="00470339">
      <w:pPr>
        <w:spacing w:line="360" w:lineRule="auto"/>
        <w:jc w:val="both"/>
        <w:rPr>
          <w:rFonts w:eastAsia="Aptos"/>
          <w:spacing w:val="-4"/>
          <w:kern w:val="2"/>
          <w:sz w:val="22"/>
          <w:szCs w:val="22"/>
          <w:lang w:eastAsia="en-US"/>
          <w14:ligatures w14:val="standardContextual"/>
        </w:rPr>
      </w:pPr>
      <w:r w:rsidRPr="00663722">
        <w:rPr>
          <w:rFonts w:eastAsia="Aptos"/>
          <w:spacing w:val="-4"/>
          <w:kern w:val="2"/>
          <w:sz w:val="22"/>
          <w:szCs w:val="22"/>
          <w:lang w:eastAsia="en-US"/>
          <w14:ligatures w14:val="standardContextual"/>
        </w:rPr>
        <w:t>ROC analizleri, çeşitli prognostik belirteçlerin mortaliteyi öngörmedeki ayırt edici gücünü ve klinik olarak anlamlı kesme noktalarını ortaya koymuştur. Ancak ROC analizi, bu belirteçlerin mortalite üzerindeki etkilerinin diğer klinik ve patolojik değişkenlerden bağımsız olup olmadığını değerlendirmemektedir. Bu nedenle, analizlerde anlamlı ve kabul edilebilir ayırt edici güce sahip olduğu gösterilen değişkenlerin mortalite için bağımsız prognostik faktörler olup olmadığını belirlemek amacıyla çok değişkenli regresyon analizi uygulanmıştır.</w:t>
      </w:r>
    </w:p>
    <w:sectPr w:rsidR="00A20822" w:rsidRPr="006637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9D57" w14:textId="77777777" w:rsidR="00565343" w:rsidRDefault="00565343" w:rsidP="00663722">
      <w:r>
        <w:separator/>
      </w:r>
    </w:p>
  </w:endnote>
  <w:endnote w:type="continuationSeparator" w:id="0">
    <w:p w14:paraId="03280FDD" w14:textId="77777777" w:rsidR="00565343" w:rsidRDefault="00565343" w:rsidP="0066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99F1" w14:textId="77777777" w:rsidR="00663722" w:rsidRDefault="006637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9532" w14:textId="77777777" w:rsidR="00663722" w:rsidRDefault="0066372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12D6" w14:textId="77777777" w:rsidR="00663722" w:rsidRDefault="006637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5D30" w14:textId="77777777" w:rsidR="00565343" w:rsidRDefault="00565343" w:rsidP="00663722">
      <w:r>
        <w:separator/>
      </w:r>
    </w:p>
  </w:footnote>
  <w:footnote w:type="continuationSeparator" w:id="0">
    <w:p w14:paraId="0E23AF93" w14:textId="77777777" w:rsidR="00565343" w:rsidRDefault="00565343" w:rsidP="0066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9545" w14:textId="041A06A6" w:rsidR="00663722" w:rsidRDefault="00565343">
    <w:pPr>
      <w:pStyle w:val="stBilgi"/>
    </w:pPr>
    <w:r>
      <w:rPr>
        <w:noProof/>
      </w:rPr>
      <w:pict w14:anchorId="4DE5B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99588" o:spid="_x0000_s1027" type="#_x0000_t136" alt="" style="position:absolute;margin-left:0;margin-top:0;width:453.2pt;height:10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EF5D" w14:textId="5F55F917" w:rsidR="00663722" w:rsidRDefault="00565343">
    <w:pPr>
      <w:pStyle w:val="stBilgi"/>
    </w:pPr>
    <w:r>
      <w:rPr>
        <w:noProof/>
      </w:rPr>
      <w:pict w14:anchorId="4E7A0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99589" o:spid="_x0000_s1026" type="#_x0000_t136" alt="" style="position:absolute;margin-left:0;margin-top:0;width:453.2pt;height:10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75D4" w14:textId="3D30FDEE" w:rsidR="00663722" w:rsidRDefault="00565343">
    <w:pPr>
      <w:pStyle w:val="stBilgi"/>
    </w:pPr>
    <w:r>
      <w:rPr>
        <w:noProof/>
      </w:rPr>
      <w:pict w14:anchorId="0411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99587" o:spid="_x0000_s1025" type="#_x0000_t136" alt="" style="position:absolute;margin-left:0;margin-top:0;width:453.2pt;height:1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8E7"/>
    <w:multiLevelType w:val="multilevel"/>
    <w:tmpl w:val="819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25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AD"/>
    <w:rsid w:val="00157C67"/>
    <w:rsid w:val="001E5010"/>
    <w:rsid w:val="0021290D"/>
    <w:rsid w:val="00470339"/>
    <w:rsid w:val="0056254B"/>
    <w:rsid w:val="00565343"/>
    <w:rsid w:val="00663722"/>
    <w:rsid w:val="00A20822"/>
    <w:rsid w:val="00A62A10"/>
    <w:rsid w:val="00A67D78"/>
    <w:rsid w:val="00AB02AD"/>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9076"/>
  <w15:chartTrackingRefBased/>
  <w15:docId w15:val="{3140C23F-0017-E845-86B6-BE55D5BA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AD"/>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AB0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0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AB02A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02A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B02A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B02A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02A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02A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02A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02A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02A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AB02A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02A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B02A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B02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02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02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02AD"/>
    <w:rPr>
      <w:rFonts w:eastAsiaTheme="majorEastAsia" w:cstheme="majorBidi"/>
      <w:color w:val="272727" w:themeColor="text1" w:themeTint="D8"/>
    </w:rPr>
  </w:style>
  <w:style w:type="paragraph" w:styleId="KonuBal">
    <w:name w:val="Title"/>
    <w:basedOn w:val="Normal"/>
    <w:next w:val="Normal"/>
    <w:link w:val="KonuBalChar"/>
    <w:uiPriority w:val="10"/>
    <w:qFormat/>
    <w:rsid w:val="00AB02A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02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02AD"/>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02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02A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B02AD"/>
    <w:rPr>
      <w:i/>
      <w:iCs/>
      <w:color w:val="404040" w:themeColor="text1" w:themeTint="BF"/>
    </w:rPr>
  </w:style>
  <w:style w:type="paragraph" w:styleId="ListeParagraf">
    <w:name w:val="List Paragraph"/>
    <w:basedOn w:val="Normal"/>
    <w:uiPriority w:val="34"/>
    <w:qFormat/>
    <w:rsid w:val="00AB02AD"/>
    <w:pPr>
      <w:ind w:left="720"/>
      <w:contextualSpacing/>
    </w:pPr>
  </w:style>
  <w:style w:type="character" w:styleId="GlVurgulama">
    <w:name w:val="Intense Emphasis"/>
    <w:basedOn w:val="VarsaylanParagrafYazTipi"/>
    <w:uiPriority w:val="21"/>
    <w:qFormat/>
    <w:rsid w:val="00AB02AD"/>
    <w:rPr>
      <w:i/>
      <w:iCs/>
      <w:color w:val="2F5496" w:themeColor="accent1" w:themeShade="BF"/>
    </w:rPr>
  </w:style>
  <w:style w:type="paragraph" w:styleId="GlAlnt">
    <w:name w:val="Intense Quote"/>
    <w:basedOn w:val="Normal"/>
    <w:next w:val="Normal"/>
    <w:link w:val="GlAlntChar"/>
    <w:uiPriority w:val="30"/>
    <w:qFormat/>
    <w:rsid w:val="00AB0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02AD"/>
    <w:rPr>
      <w:i/>
      <w:iCs/>
      <w:color w:val="2F5496" w:themeColor="accent1" w:themeShade="BF"/>
    </w:rPr>
  </w:style>
  <w:style w:type="character" w:styleId="GlBavuru">
    <w:name w:val="Intense Reference"/>
    <w:basedOn w:val="VarsaylanParagrafYazTipi"/>
    <w:uiPriority w:val="32"/>
    <w:qFormat/>
    <w:rsid w:val="00AB02AD"/>
    <w:rPr>
      <w:b/>
      <w:bCs/>
      <w:smallCaps/>
      <w:color w:val="2F5496" w:themeColor="accent1" w:themeShade="BF"/>
      <w:spacing w:val="5"/>
    </w:rPr>
  </w:style>
  <w:style w:type="table" w:styleId="TabloKlavuzu">
    <w:name w:val="Table Grid"/>
    <w:basedOn w:val="NormalTablo"/>
    <w:uiPriority w:val="39"/>
    <w:rsid w:val="00AB02A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
    <w:name w:val="TABLO"/>
    <w:basedOn w:val="Normal"/>
    <w:qFormat/>
    <w:rsid w:val="00AB02AD"/>
    <w:pPr>
      <w:spacing w:line="360" w:lineRule="auto"/>
      <w:jc w:val="both"/>
    </w:pPr>
    <w:rPr>
      <w:b/>
      <w:i/>
    </w:rPr>
  </w:style>
  <w:style w:type="paragraph" w:customStyle="1" w:styleId="EKL">
    <w:name w:val="ŞEKİL"/>
    <w:basedOn w:val="Normal"/>
    <w:qFormat/>
    <w:rsid w:val="00AB02AD"/>
    <w:pPr>
      <w:spacing w:line="360" w:lineRule="auto"/>
      <w:ind w:left="1416" w:firstLine="708"/>
      <w:jc w:val="both"/>
    </w:pPr>
    <w:rPr>
      <w:b/>
      <w:i/>
    </w:rPr>
  </w:style>
  <w:style w:type="character" w:styleId="Gl">
    <w:name w:val="Strong"/>
    <w:basedOn w:val="VarsaylanParagrafYazTipi"/>
    <w:uiPriority w:val="22"/>
    <w:qFormat/>
    <w:rsid w:val="00663722"/>
    <w:rPr>
      <w:b/>
      <w:bCs/>
    </w:rPr>
  </w:style>
  <w:style w:type="paragraph" w:styleId="NormalWeb">
    <w:name w:val="Normal (Web)"/>
    <w:basedOn w:val="Normal"/>
    <w:uiPriority w:val="99"/>
    <w:unhideWhenUsed/>
    <w:rsid w:val="00663722"/>
    <w:pPr>
      <w:spacing w:before="100" w:beforeAutospacing="1" w:after="100" w:afterAutospacing="1"/>
    </w:pPr>
  </w:style>
  <w:style w:type="paragraph" w:styleId="stBilgi">
    <w:name w:val="header"/>
    <w:basedOn w:val="Normal"/>
    <w:link w:val="stBilgiChar"/>
    <w:uiPriority w:val="99"/>
    <w:unhideWhenUsed/>
    <w:rsid w:val="00663722"/>
    <w:pPr>
      <w:tabs>
        <w:tab w:val="center" w:pos="4536"/>
        <w:tab w:val="right" w:pos="9072"/>
      </w:tabs>
    </w:pPr>
  </w:style>
  <w:style w:type="character" w:customStyle="1" w:styleId="stBilgiChar">
    <w:name w:val="Üst Bilgi Char"/>
    <w:basedOn w:val="VarsaylanParagrafYazTipi"/>
    <w:link w:val="stBilgi"/>
    <w:uiPriority w:val="99"/>
    <w:rsid w:val="00663722"/>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663722"/>
    <w:pPr>
      <w:tabs>
        <w:tab w:val="center" w:pos="4536"/>
        <w:tab w:val="right" w:pos="9072"/>
      </w:tabs>
    </w:pPr>
  </w:style>
  <w:style w:type="character" w:customStyle="1" w:styleId="AltBilgiChar">
    <w:name w:val="Alt Bilgi Char"/>
    <w:basedOn w:val="VarsaylanParagrafYazTipi"/>
    <w:link w:val="AltBilgi"/>
    <w:uiPriority w:val="99"/>
    <w:rsid w:val="00663722"/>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662</Words>
  <Characters>4071</Characters>
  <Application>Microsoft Office Word</Application>
  <DocSecurity>0</DocSecurity>
  <Lines>185</Lines>
  <Paragraphs>152</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3</cp:revision>
  <dcterms:created xsi:type="dcterms:W3CDTF">2026-03-25T13:48:00Z</dcterms:created>
  <dcterms:modified xsi:type="dcterms:W3CDTF">2026-03-26T10:40:00Z</dcterms:modified>
</cp:coreProperties>
</file>