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E0C1" w14:textId="736A6796" w:rsidR="00443C4B" w:rsidRPr="00443C4B" w:rsidRDefault="00443C4B" w:rsidP="00443C4B">
      <w:pPr>
        <w:pStyle w:val="Balk3"/>
        <w:spacing w:before="0" w:after="0"/>
        <w:rPr>
          <w:color w:val="000000" w:themeColor="text1"/>
          <w:sz w:val="22"/>
          <w:szCs w:val="22"/>
        </w:rPr>
      </w:pPr>
      <w:bookmarkStart w:id="0" w:name="_Toc177524257"/>
      <w:r w:rsidRPr="00443C4B">
        <w:rPr>
          <w:rStyle w:val="Gl"/>
          <w:color w:val="000000" w:themeColor="text1"/>
          <w:sz w:val="22"/>
          <w:szCs w:val="22"/>
        </w:rPr>
        <w:t xml:space="preserve">Analizin </w:t>
      </w:r>
      <w:r w:rsidRPr="00443C4B">
        <w:rPr>
          <w:rStyle w:val="Gl"/>
          <w:color w:val="000000" w:themeColor="text1"/>
          <w:sz w:val="22"/>
          <w:szCs w:val="22"/>
        </w:rPr>
        <w:t>Adı:</w:t>
      </w:r>
      <w:r w:rsidRPr="00443C4B">
        <w:rPr>
          <w:rStyle w:val="Gl"/>
          <w:b w:val="0"/>
          <w:bCs w:val="0"/>
          <w:color w:val="000000" w:themeColor="text1"/>
          <w:sz w:val="22"/>
          <w:szCs w:val="22"/>
        </w:rPr>
        <w:t xml:space="preserve"> Betimsel</w:t>
      </w:r>
      <w:r w:rsidRPr="00443C4B">
        <w:rPr>
          <w:color w:val="000000" w:themeColor="text1"/>
          <w:sz w:val="22"/>
          <w:szCs w:val="22"/>
        </w:rPr>
        <w:t xml:space="preserve"> İstatistik, Güvenirlik ve Normallik Analizi</w:t>
      </w:r>
    </w:p>
    <w:p w14:paraId="63B9FD45" w14:textId="55A53872" w:rsidR="00443C4B" w:rsidRPr="00443C4B" w:rsidRDefault="00443C4B" w:rsidP="00443C4B">
      <w:pPr>
        <w:pStyle w:val="Balk3"/>
        <w:spacing w:before="0" w:after="0"/>
        <w:rPr>
          <w:color w:val="000000" w:themeColor="text1"/>
          <w:sz w:val="22"/>
          <w:szCs w:val="22"/>
        </w:rPr>
      </w:pPr>
      <w:r w:rsidRPr="00443C4B">
        <w:rPr>
          <w:rStyle w:val="Gl"/>
          <w:color w:val="000000" w:themeColor="text1"/>
          <w:sz w:val="22"/>
          <w:szCs w:val="22"/>
        </w:rPr>
        <w:t>Kullanım Alanları</w:t>
      </w:r>
      <w:r w:rsidRPr="00443C4B">
        <w:rPr>
          <w:rStyle w:val="Gl"/>
          <w:color w:val="000000" w:themeColor="text1"/>
          <w:sz w:val="22"/>
          <w:szCs w:val="22"/>
        </w:rPr>
        <w:t>:</w:t>
      </w:r>
      <w:r w:rsidRPr="00443C4B">
        <w:rPr>
          <w:rStyle w:val="Gl"/>
          <w:b w:val="0"/>
          <w:bCs w:val="0"/>
          <w:color w:val="000000" w:themeColor="text1"/>
          <w:sz w:val="22"/>
          <w:szCs w:val="22"/>
        </w:rPr>
        <w:t xml:space="preserve"> </w:t>
      </w:r>
      <w:r w:rsidRPr="00443C4B">
        <w:rPr>
          <w:color w:val="000000" w:themeColor="text1"/>
          <w:sz w:val="22"/>
          <w:szCs w:val="22"/>
        </w:rPr>
        <w:t>Bu analizler, araştırma verilerinin ön değerlendirilmesi ve veri setinin analizlere uygunluğunun test edilmesi amacıyla kullanılmaktadır. Ölçek geliştirme ve uyarlama çalışmaları, anket araştırmaları, psikometrik analizler ve nicel araştırmaların hemen her aşamasında yaygın olarak tercih edilmektedir.</w:t>
      </w:r>
    </w:p>
    <w:p w14:paraId="6D02517D" w14:textId="471A5EAD" w:rsidR="00443C4B" w:rsidRPr="00443C4B" w:rsidRDefault="00443C4B" w:rsidP="00443C4B">
      <w:pPr>
        <w:pStyle w:val="Balk3"/>
        <w:spacing w:before="0" w:after="0"/>
        <w:rPr>
          <w:color w:val="000000" w:themeColor="text1"/>
          <w:sz w:val="22"/>
          <w:szCs w:val="22"/>
        </w:rPr>
      </w:pPr>
      <w:r w:rsidRPr="00443C4B">
        <w:rPr>
          <w:rStyle w:val="Gl"/>
          <w:color w:val="000000" w:themeColor="text1"/>
          <w:sz w:val="22"/>
          <w:szCs w:val="22"/>
        </w:rPr>
        <w:t>Amacı</w:t>
      </w:r>
      <w:r w:rsidRPr="00443C4B">
        <w:rPr>
          <w:rStyle w:val="Gl"/>
          <w:color w:val="000000" w:themeColor="text1"/>
          <w:sz w:val="22"/>
          <w:szCs w:val="22"/>
        </w:rPr>
        <w:t>:</w:t>
      </w:r>
      <w:r w:rsidRPr="00443C4B">
        <w:rPr>
          <w:rStyle w:val="Gl"/>
          <w:b w:val="0"/>
          <w:bCs w:val="0"/>
          <w:color w:val="000000" w:themeColor="text1"/>
          <w:sz w:val="22"/>
          <w:szCs w:val="22"/>
        </w:rPr>
        <w:t xml:space="preserve"> B</w:t>
      </w:r>
      <w:r w:rsidRPr="00443C4B">
        <w:rPr>
          <w:color w:val="000000" w:themeColor="text1"/>
          <w:sz w:val="22"/>
          <w:szCs w:val="22"/>
        </w:rPr>
        <w:t>etimsel istatistikler ile verilerin genel özelliklerinin (ortalama, standart sapma, minimum–maksimum değerler) ortaya konulması; güvenirlik analizi ile ölçme aracının tutarlılığının değerlendirilmesi; normallik analizi ile verilerin parametrik testlere uygun olup olmadığının belirlenmesi amaçlanmaktadır.</w:t>
      </w:r>
    </w:p>
    <w:p w14:paraId="47F91C9D" w14:textId="0697B910" w:rsidR="00443C4B" w:rsidRPr="00443C4B" w:rsidRDefault="00443C4B" w:rsidP="00443C4B">
      <w:pPr>
        <w:pStyle w:val="Balk3"/>
        <w:spacing w:before="0" w:after="0"/>
        <w:rPr>
          <w:color w:val="000000" w:themeColor="text1"/>
          <w:sz w:val="22"/>
          <w:szCs w:val="22"/>
        </w:rPr>
      </w:pPr>
      <w:r w:rsidRPr="00443C4B">
        <w:rPr>
          <w:rStyle w:val="Gl"/>
          <w:color w:val="000000" w:themeColor="text1"/>
          <w:sz w:val="22"/>
          <w:szCs w:val="22"/>
        </w:rPr>
        <w:t>Ne Anlama Geldiği</w:t>
      </w:r>
      <w:r w:rsidRPr="00443C4B">
        <w:rPr>
          <w:rStyle w:val="Gl"/>
          <w:color w:val="000000" w:themeColor="text1"/>
          <w:sz w:val="22"/>
          <w:szCs w:val="22"/>
        </w:rPr>
        <w:t>:</w:t>
      </w:r>
      <w:r w:rsidRPr="00443C4B">
        <w:rPr>
          <w:rStyle w:val="Gl"/>
          <w:b w:val="0"/>
          <w:bCs w:val="0"/>
          <w:color w:val="000000" w:themeColor="text1"/>
          <w:sz w:val="22"/>
          <w:szCs w:val="22"/>
        </w:rPr>
        <w:t xml:space="preserve"> </w:t>
      </w:r>
      <w:r w:rsidRPr="00443C4B">
        <w:rPr>
          <w:color w:val="000000" w:themeColor="text1"/>
          <w:sz w:val="22"/>
          <w:szCs w:val="22"/>
        </w:rPr>
        <w:t>Betimsel istatistikler, veri setinin genel yapısını ve dağılımını özetlemektedir. Güvenirlik analizi sonucunda elde edilen Cronbach’s Alpha katsayısı, ölçeğin iç tutarlılığını göstermekte olup genellikle 0.70 ve üzeri değerler kabul edilebilir düzeyde değerlendirilmektedir. Normallik analizi ise çarpıklık (skewness) ve basıklık (kurtosis) değerleri ile Kolmogorov-Smirnov veya Shapiro-Wilk testleri aracılığıyla değerlendirilmektedir. Bu değerler, verilerin normal dağılıma uygunluğunu ve dolayısıyla parametrik analizlerin uygulanabilirliğini göstermektedir.</w:t>
      </w:r>
    </w:p>
    <w:p w14:paraId="18FA6CF1" w14:textId="77777777" w:rsidR="00443C4B" w:rsidRPr="00443C4B" w:rsidRDefault="00443C4B" w:rsidP="00443C4B">
      <w:pPr>
        <w:rPr>
          <w:b/>
          <w:bCs/>
          <w:sz w:val="22"/>
        </w:rPr>
      </w:pPr>
      <w:r w:rsidRPr="00443C4B">
        <w:rPr>
          <w:b/>
          <w:bCs/>
          <w:sz w:val="22"/>
        </w:rPr>
        <w:t xml:space="preserve">Örnek Analiz: </w:t>
      </w:r>
    </w:p>
    <w:p w14:paraId="37563D0B" w14:textId="641F1F23" w:rsidR="00674353" w:rsidRPr="00443C4B" w:rsidRDefault="00674353" w:rsidP="00443C4B">
      <w:pPr>
        <w:rPr>
          <w:b/>
          <w:bCs/>
          <w:sz w:val="22"/>
        </w:rPr>
      </w:pPr>
      <w:r w:rsidRPr="00443C4B">
        <w:rPr>
          <w:b/>
          <w:bCs/>
          <w:spacing w:val="4"/>
          <w:sz w:val="22"/>
          <w:lang w:eastAsia="tr-TR"/>
        </w:rPr>
        <w:t>Katılımcıların Demografik Özellikleri</w:t>
      </w:r>
      <w:bookmarkEnd w:id="0"/>
    </w:p>
    <w:p w14:paraId="0270AACA" w14:textId="77777777" w:rsidR="00674353" w:rsidRPr="00443C4B" w:rsidRDefault="00674353" w:rsidP="00674353">
      <w:pPr>
        <w:rPr>
          <w:spacing w:val="4"/>
          <w:sz w:val="22"/>
          <w:lang w:eastAsia="tr-TR"/>
        </w:rPr>
      </w:pPr>
      <w:r w:rsidRPr="00443C4B">
        <w:rPr>
          <w:spacing w:val="4"/>
          <w:sz w:val="22"/>
          <w:lang w:eastAsia="tr-TR"/>
        </w:rPr>
        <w:t>Çalışmaya toplam Katılımcı Grubu 1 (n = 336) göstermiştir. Katılımcıların demografik özelliklerini yansıtan frekans analizi sonuçları Tablo 1’de sunulmuştur.</w:t>
      </w:r>
    </w:p>
    <w:p w14:paraId="37C4974D" w14:textId="77777777" w:rsidR="00674353" w:rsidRPr="009E23E1" w:rsidRDefault="00674353" w:rsidP="00674353">
      <w:pPr>
        <w:pStyle w:val="ResimYazs"/>
        <w:keepNext/>
        <w:keepLines/>
        <w:spacing w:before="120" w:after="120"/>
        <w:jc w:val="center"/>
        <w:rPr>
          <w:color w:val="000000" w:themeColor="text1"/>
          <w:spacing w:val="4"/>
          <w:sz w:val="24"/>
          <w:szCs w:val="24"/>
          <w:lang w:eastAsia="tr-TR"/>
        </w:rPr>
      </w:pPr>
      <w:bookmarkStart w:id="1" w:name="_Toc177524342"/>
      <w:r w:rsidRPr="009E23E1">
        <w:rPr>
          <w:color w:val="000000" w:themeColor="text1"/>
          <w:sz w:val="24"/>
          <w:szCs w:val="24"/>
        </w:rPr>
        <w:t xml:space="preserve">Tablo </w:t>
      </w:r>
      <w:r w:rsidRPr="009E23E1">
        <w:rPr>
          <w:color w:val="000000" w:themeColor="text1"/>
          <w:sz w:val="24"/>
          <w:szCs w:val="24"/>
        </w:rPr>
        <w:fldChar w:fldCharType="begin"/>
      </w:r>
      <w:r w:rsidRPr="009E23E1">
        <w:rPr>
          <w:color w:val="000000" w:themeColor="text1"/>
          <w:sz w:val="24"/>
          <w:szCs w:val="24"/>
        </w:rPr>
        <w:instrText xml:space="preserve"> SEQ Tablo \* ARABIC </w:instrText>
      </w:r>
      <w:r w:rsidRPr="009E23E1">
        <w:rPr>
          <w:color w:val="000000" w:themeColor="text1"/>
          <w:sz w:val="24"/>
          <w:szCs w:val="24"/>
        </w:rPr>
        <w:fldChar w:fldCharType="separate"/>
      </w:r>
      <w:r>
        <w:rPr>
          <w:noProof/>
          <w:color w:val="000000" w:themeColor="text1"/>
          <w:sz w:val="24"/>
          <w:szCs w:val="24"/>
        </w:rPr>
        <w:t>1</w:t>
      </w:r>
      <w:r w:rsidRPr="009E23E1">
        <w:rPr>
          <w:color w:val="000000" w:themeColor="text1"/>
          <w:sz w:val="24"/>
          <w:szCs w:val="24"/>
        </w:rPr>
        <w:fldChar w:fldCharType="end"/>
      </w:r>
      <w:r w:rsidRPr="009E23E1">
        <w:rPr>
          <w:color w:val="000000" w:themeColor="text1"/>
          <w:sz w:val="24"/>
          <w:szCs w:val="24"/>
        </w:rPr>
        <w:t>. Katılımcıların Demografik Özellikleri</w:t>
      </w:r>
      <w:bookmarkEnd w:id="1"/>
    </w:p>
    <w:tbl>
      <w:tblPr>
        <w:tblW w:w="4950" w:type="pct"/>
        <w:tblInd w:w="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85"/>
        <w:gridCol w:w="3610"/>
        <w:gridCol w:w="1452"/>
        <w:gridCol w:w="1534"/>
      </w:tblGrid>
      <w:tr w:rsidR="00674353" w:rsidRPr="00443C4B" w14:paraId="094708F3" w14:textId="77777777" w:rsidTr="00A24B31">
        <w:trPr>
          <w:cantSplit/>
        </w:trPr>
        <w:tc>
          <w:tcPr>
            <w:tcW w:w="2385" w:type="dxa"/>
            <w:tcBorders>
              <w:top w:val="single" w:sz="4" w:space="0" w:color="auto"/>
              <w:bottom w:val="single" w:sz="4" w:space="0" w:color="auto"/>
            </w:tcBorders>
            <w:vAlign w:val="center"/>
          </w:tcPr>
          <w:p w14:paraId="0BED3320" w14:textId="77777777" w:rsidR="00674353" w:rsidRPr="00443C4B" w:rsidRDefault="00674353" w:rsidP="00443C4B">
            <w:pPr>
              <w:autoSpaceDE w:val="0"/>
              <w:autoSpaceDN w:val="0"/>
              <w:adjustRightInd w:val="0"/>
              <w:spacing w:before="0" w:after="0" w:line="240" w:lineRule="auto"/>
              <w:ind w:left="60" w:right="60"/>
              <w:jc w:val="left"/>
              <w:rPr>
                <w:rFonts w:cs="Times New Roman"/>
                <w:b/>
                <w:sz w:val="20"/>
                <w:szCs w:val="20"/>
              </w:rPr>
            </w:pPr>
            <w:bookmarkStart w:id="2" w:name="_Hlk177501418"/>
            <w:r w:rsidRPr="00443C4B">
              <w:rPr>
                <w:rFonts w:cs="Times New Roman"/>
                <w:b/>
                <w:sz w:val="20"/>
                <w:szCs w:val="20"/>
              </w:rPr>
              <w:t>Değişken</w:t>
            </w:r>
          </w:p>
        </w:tc>
        <w:tc>
          <w:tcPr>
            <w:tcW w:w="3610" w:type="dxa"/>
            <w:tcBorders>
              <w:top w:val="single" w:sz="4" w:space="0" w:color="auto"/>
              <w:bottom w:val="single" w:sz="4" w:space="0" w:color="auto"/>
            </w:tcBorders>
            <w:vAlign w:val="center"/>
          </w:tcPr>
          <w:p w14:paraId="25CF1769" w14:textId="77777777" w:rsidR="00674353" w:rsidRPr="00443C4B" w:rsidRDefault="00674353" w:rsidP="00443C4B">
            <w:pPr>
              <w:autoSpaceDE w:val="0"/>
              <w:autoSpaceDN w:val="0"/>
              <w:adjustRightInd w:val="0"/>
              <w:spacing w:before="0" w:after="0" w:line="240" w:lineRule="auto"/>
              <w:ind w:left="60" w:right="60"/>
              <w:jc w:val="left"/>
              <w:rPr>
                <w:rFonts w:cs="Times New Roman"/>
                <w:b/>
                <w:sz w:val="20"/>
                <w:szCs w:val="20"/>
              </w:rPr>
            </w:pPr>
            <w:r w:rsidRPr="00443C4B">
              <w:rPr>
                <w:rFonts w:cs="Times New Roman"/>
                <w:b/>
                <w:sz w:val="20"/>
                <w:szCs w:val="20"/>
              </w:rPr>
              <w:t>Kategori</w:t>
            </w:r>
          </w:p>
        </w:tc>
        <w:tc>
          <w:tcPr>
            <w:tcW w:w="1452" w:type="dxa"/>
            <w:tcBorders>
              <w:top w:val="single" w:sz="4" w:space="0" w:color="auto"/>
              <w:bottom w:val="single" w:sz="4" w:space="0" w:color="auto"/>
            </w:tcBorders>
            <w:vAlign w:val="center"/>
          </w:tcPr>
          <w:p w14:paraId="14C1E73F" w14:textId="77777777" w:rsidR="00674353" w:rsidRPr="00443C4B" w:rsidRDefault="00674353" w:rsidP="00443C4B">
            <w:pPr>
              <w:autoSpaceDE w:val="0"/>
              <w:autoSpaceDN w:val="0"/>
              <w:adjustRightInd w:val="0"/>
              <w:spacing w:before="0" w:after="0" w:line="240" w:lineRule="auto"/>
              <w:ind w:left="60" w:right="60"/>
              <w:jc w:val="left"/>
              <w:rPr>
                <w:rFonts w:cs="Times New Roman"/>
                <w:b/>
                <w:sz w:val="20"/>
                <w:szCs w:val="20"/>
              </w:rPr>
            </w:pPr>
            <w:r w:rsidRPr="00443C4B">
              <w:rPr>
                <w:rFonts w:cs="Times New Roman"/>
                <w:b/>
                <w:sz w:val="20"/>
                <w:szCs w:val="20"/>
              </w:rPr>
              <w:t>n</w:t>
            </w:r>
          </w:p>
        </w:tc>
        <w:tc>
          <w:tcPr>
            <w:tcW w:w="1534" w:type="dxa"/>
            <w:tcBorders>
              <w:top w:val="single" w:sz="4" w:space="0" w:color="auto"/>
              <w:bottom w:val="single" w:sz="4" w:space="0" w:color="auto"/>
            </w:tcBorders>
            <w:vAlign w:val="center"/>
          </w:tcPr>
          <w:p w14:paraId="6DD11607" w14:textId="77777777" w:rsidR="00674353" w:rsidRPr="00443C4B" w:rsidRDefault="00674353" w:rsidP="00443C4B">
            <w:pPr>
              <w:autoSpaceDE w:val="0"/>
              <w:autoSpaceDN w:val="0"/>
              <w:adjustRightInd w:val="0"/>
              <w:spacing w:before="0" w:after="0" w:line="240" w:lineRule="auto"/>
              <w:ind w:left="60" w:right="60"/>
              <w:jc w:val="left"/>
              <w:rPr>
                <w:rFonts w:cs="Times New Roman"/>
                <w:b/>
                <w:sz w:val="20"/>
                <w:szCs w:val="20"/>
              </w:rPr>
            </w:pPr>
            <w:r w:rsidRPr="00443C4B">
              <w:rPr>
                <w:rFonts w:cs="Times New Roman"/>
                <w:b/>
                <w:sz w:val="20"/>
                <w:szCs w:val="20"/>
              </w:rPr>
              <w:t>%</w:t>
            </w:r>
          </w:p>
        </w:tc>
      </w:tr>
      <w:tr w:rsidR="00674353" w:rsidRPr="00443C4B" w14:paraId="29E49D64" w14:textId="77777777" w:rsidTr="00A24B31">
        <w:trPr>
          <w:cantSplit/>
        </w:trPr>
        <w:tc>
          <w:tcPr>
            <w:tcW w:w="2385" w:type="dxa"/>
            <w:vMerge w:val="restart"/>
            <w:tcBorders>
              <w:top w:val="single" w:sz="4" w:space="0" w:color="auto"/>
            </w:tcBorders>
            <w:vAlign w:val="center"/>
          </w:tcPr>
          <w:p w14:paraId="052F163E"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Cinsiyet</w:t>
            </w:r>
          </w:p>
        </w:tc>
        <w:tc>
          <w:tcPr>
            <w:tcW w:w="3610" w:type="dxa"/>
            <w:tcBorders>
              <w:top w:val="single" w:sz="4" w:space="0" w:color="auto"/>
            </w:tcBorders>
            <w:vAlign w:val="center"/>
          </w:tcPr>
          <w:p w14:paraId="7A74F255"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Kadın</w:t>
            </w:r>
          </w:p>
        </w:tc>
        <w:tc>
          <w:tcPr>
            <w:tcW w:w="1452" w:type="dxa"/>
            <w:tcBorders>
              <w:top w:val="single" w:sz="4" w:space="0" w:color="auto"/>
            </w:tcBorders>
            <w:vAlign w:val="center"/>
          </w:tcPr>
          <w:p w14:paraId="73818E5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131</w:t>
            </w:r>
          </w:p>
        </w:tc>
        <w:tc>
          <w:tcPr>
            <w:tcW w:w="1534" w:type="dxa"/>
            <w:tcBorders>
              <w:top w:val="single" w:sz="4" w:space="0" w:color="auto"/>
            </w:tcBorders>
            <w:vAlign w:val="center"/>
          </w:tcPr>
          <w:p w14:paraId="4C3F0D0E"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39,0</w:t>
            </w:r>
          </w:p>
        </w:tc>
      </w:tr>
      <w:tr w:rsidR="00674353" w:rsidRPr="00443C4B" w14:paraId="3EE87791" w14:textId="77777777" w:rsidTr="00A24B31">
        <w:trPr>
          <w:cantSplit/>
        </w:trPr>
        <w:tc>
          <w:tcPr>
            <w:tcW w:w="2385" w:type="dxa"/>
            <w:vMerge/>
            <w:tcBorders>
              <w:bottom w:val="single" w:sz="4" w:space="0" w:color="auto"/>
            </w:tcBorders>
            <w:vAlign w:val="center"/>
          </w:tcPr>
          <w:p w14:paraId="4276CDDC"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bottom w:val="single" w:sz="4" w:space="0" w:color="auto"/>
            </w:tcBorders>
            <w:vAlign w:val="center"/>
          </w:tcPr>
          <w:p w14:paraId="62C4442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Erkek</w:t>
            </w:r>
          </w:p>
        </w:tc>
        <w:tc>
          <w:tcPr>
            <w:tcW w:w="1452" w:type="dxa"/>
            <w:tcBorders>
              <w:bottom w:val="single" w:sz="4" w:space="0" w:color="auto"/>
            </w:tcBorders>
            <w:vAlign w:val="center"/>
          </w:tcPr>
          <w:p w14:paraId="1E77F7E5"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205</w:t>
            </w:r>
          </w:p>
        </w:tc>
        <w:tc>
          <w:tcPr>
            <w:tcW w:w="1534" w:type="dxa"/>
            <w:tcBorders>
              <w:bottom w:val="single" w:sz="4" w:space="0" w:color="auto"/>
            </w:tcBorders>
            <w:vAlign w:val="center"/>
          </w:tcPr>
          <w:p w14:paraId="7B6DD09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61,0</w:t>
            </w:r>
          </w:p>
        </w:tc>
      </w:tr>
      <w:tr w:rsidR="00674353" w:rsidRPr="00443C4B" w14:paraId="656E52DA" w14:textId="77777777" w:rsidTr="00A24B31">
        <w:trPr>
          <w:cantSplit/>
        </w:trPr>
        <w:tc>
          <w:tcPr>
            <w:tcW w:w="2385" w:type="dxa"/>
            <w:vMerge w:val="restart"/>
            <w:tcBorders>
              <w:top w:val="single" w:sz="4" w:space="0" w:color="auto"/>
              <w:bottom w:val="nil"/>
            </w:tcBorders>
            <w:vAlign w:val="center"/>
          </w:tcPr>
          <w:p w14:paraId="773FC46C"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Yaş</w:t>
            </w:r>
          </w:p>
        </w:tc>
        <w:tc>
          <w:tcPr>
            <w:tcW w:w="3610" w:type="dxa"/>
            <w:tcBorders>
              <w:top w:val="single" w:sz="4" w:space="0" w:color="auto"/>
              <w:bottom w:val="nil"/>
            </w:tcBorders>
            <w:vAlign w:val="center"/>
          </w:tcPr>
          <w:p w14:paraId="645F5FC3"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21-30 arası</w:t>
            </w:r>
          </w:p>
        </w:tc>
        <w:tc>
          <w:tcPr>
            <w:tcW w:w="1452" w:type="dxa"/>
            <w:tcBorders>
              <w:top w:val="single" w:sz="4" w:space="0" w:color="auto"/>
              <w:bottom w:val="nil"/>
            </w:tcBorders>
            <w:vAlign w:val="center"/>
          </w:tcPr>
          <w:p w14:paraId="39E9B7B2"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31</w:t>
            </w:r>
          </w:p>
        </w:tc>
        <w:tc>
          <w:tcPr>
            <w:tcW w:w="1534" w:type="dxa"/>
            <w:tcBorders>
              <w:top w:val="single" w:sz="4" w:space="0" w:color="auto"/>
              <w:bottom w:val="nil"/>
            </w:tcBorders>
            <w:vAlign w:val="center"/>
          </w:tcPr>
          <w:p w14:paraId="56390B2B"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9,2</w:t>
            </w:r>
          </w:p>
        </w:tc>
      </w:tr>
      <w:tr w:rsidR="00674353" w:rsidRPr="00443C4B" w14:paraId="0216DD3C" w14:textId="77777777" w:rsidTr="00A24B31">
        <w:trPr>
          <w:cantSplit/>
        </w:trPr>
        <w:tc>
          <w:tcPr>
            <w:tcW w:w="2385" w:type="dxa"/>
            <w:vMerge/>
            <w:tcBorders>
              <w:top w:val="nil"/>
            </w:tcBorders>
            <w:vAlign w:val="center"/>
          </w:tcPr>
          <w:p w14:paraId="546D540E"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tcBorders>
            <w:vAlign w:val="center"/>
          </w:tcPr>
          <w:p w14:paraId="013E754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31-40 arası</w:t>
            </w:r>
          </w:p>
        </w:tc>
        <w:tc>
          <w:tcPr>
            <w:tcW w:w="1452" w:type="dxa"/>
            <w:tcBorders>
              <w:top w:val="nil"/>
            </w:tcBorders>
            <w:vAlign w:val="center"/>
          </w:tcPr>
          <w:p w14:paraId="5425F69D"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150</w:t>
            </w:r>
          </w:p>
        </w:tc>
        <w:tc>
          <w:tcPr>
            <w:tcW w:w="1534" w:type="dxa"/>
            <w:tcBorders>
              <w:top w:val="nil"/>
            </w:tcBorders>
            <w:vAlign w:val="center"/>
          </w:tcPr>
          <w:p w14:paraId="4F72CC5D"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44,6</w:t>
            </w:r>
          </w:p>
        </w:tc>
      </w:tr>
      <w:tr w:rsidR="00674353" w:rsidRPr="00443C4B" w14:paraId="61A3C10A" w14:textId="77777777" w:rsidTr="00A24B31">
        <w:trPr>
          <w:cantSplit/>
        </w:trPr>
        <w:tc>
          <w:tcPr>
            <w:tcW w:w="2385" w:type="dxa"/>
            <w:vMerge/>
            <w:vAlign w:val="center"/>
          </w:tcPr>
          <w:p w14:paraId="42320B48"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vAlign w:val="center"/>
          </w:tcPr>
          <w:p w14:paraId="14E7A3C0"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41-50 arası</w:t>
            </w:r>
          </w:p>
        </w:tc>
        <w:tc>
          <w:tcPr>
            <w:tcW w:w="1452" w:type="dxa"/>
            <w:vAlign w:val="center"/>
          </w:tcPr>
          <w:p w14:paraId="1581B805"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110</w:t>
            </w:r>
          </w:p>
        </w:tc>
        <w:tc>
          <w:tcPr>
            <w:tcW w:w="1534" w:type="dxa"/>
            <w:vAlign w:val="center"/>
          </w:tcPr>
          <w:p w14:paraId="2C7D654B"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32,7</w:t>
            </w:r>
          </w:p>
        </w:tc>
      </w:tr>
      <w:tr w:rsidR="00674353" w:rsidRPr="00443C4B" w14:paraId="0853C83F" w14:textId="77777777" w:rsidTr="00A24B31">
        <w:trPr>
          <w:cantSplit/>
        </w:trPr>
        <w:tc>
          <w:tcPr>
            <w:tcW w:w="2385" w:type="dxa"/>
            <w:vMerge/>
            <w:tcBorders>
              <w:bottom w:val="single" w:sz="4" w:space="0" w:color="auto"/>
            </w:tcBorders>
            <w:vAlign w:val="center"/>
          </w:tcPr>
          <w:p w14:paraId="623191D2"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bottom w:val="single" w:sz="4" w:space="0" w:color="auto"/>
            </w:tcBorders>
            <w:vAlign w:val="center"/>
          </w:tcPr>
          <w:p w14:paraId="22B4026D"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51 ve üzeri</w:t>
            </w:r>
          </w:p>
        </w:tc>
        <w:tc>
          <w:tcPr>
            <w:tcW w:w="1452" w:type="dxa"/>
            <w:tcBorders>
              <w:bottom w:val="single" w:sz="4" w:space="0" w:color="auto"/>
            </w:tcBorders>
            <w:vAlign w:val="center"/>
          </w:tcPr>
          <w:p w14:paraId="6ECDE0F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45</w:t>
            </w:r>
          </w:p>
        </w:tc>
        <w:tc>
          <w:tcPr>
            <w:tcW w:w="1534" w:type="dxa"/>
            <w:tcBorders>
              <w:bottom w:val="single" w:sz="4" w:space="0" w:color="auto"/>
            </w:tcBorders>
            <w:vAlign w:val="center"/>
          </w:tcPr>
          <w:p w14:paraId="6B3C6DF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13,4</w:t>
            </w:r>
          </w:p>
        </w:tc>
      </w:tr>
      <w:tr w:rsidR="00674353" w:rsidRPr="00443C4B" w14:paraId="50F9A98F" w14:textId="77777777" w:rsidTr="00A24B31">
        <w:trPr>
          <w:cantSplit/>
        </w:trPr>
        <w:tc>
          <w:tcPr>
            <w:tcW w:w="2385" w:type="dxa"/>
            <w:vMerge w:val="restart"/>
            <w:tcBorders>
              <w:top w:val="single" w:sz="4" w:space="0" w:color="auto"/>
              <w:bottom w:val="nil"/>
            </w:tcBorders>
            <w:vAlign w:val="center"/>
          </w:tcPr>
          <w:p w14:paraId="1135C3D3"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Eğitim Durumu</w:t>
            </w:r>
          </w:p>
        </w:tc>
        <w:tc>
          <w:tcPr>
            <w:tcW w:w="3610" w:type="dxa"/>
            <w:tcBorders>
              <w:top w:val="single" w:sz="4" w:space="0" w:color="auto"/>
              <w:bottom w:val="nil"/>
            </w:tcBorders>
            <w:vAlign w:val="center"/>
          </w:tcPr>
          <w:p w14:paraId="56A62C33"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Lisans</w:t>
            </w:r>
          </w:p>
        </w:tc>
        <w:tc>
          <w:tcPr>
            <w:tcW w:w="1452" w:type="dxa"/>
            <w:tcBorders>
              <w:top w:val="single" w:sz="4" w:space="0" w:color="auto"/>
              <w:bottom w:val="nil"/>
            </w:tcBorders>
            <w:vAlign w:val="center"/>
          </w:tcPr>
          <w:p w14:paraId="3FFA835C"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280</w:t>
            </w:r>
          </w:p>
        </w:tc>
        <w:tc>
          <w:tcPr>
            <w:tcW w:w="1534" w:type="dxa"/>
            <w:tcBorders>
              <w:top w:val="single" w:sz="4" w:space="0" w:color="auto"/>
              <w:bottom w:val="nil"/>
            </w:tcBorders>
            <w:vAlign w:val="center"/>
          </w:tcPr>
          <w:p w14:paraId="088E2A4E"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83,3</w:t>
            </w:r>
          </w:p>
        </w:tc>
      </w:tr>
      <w:tr w:rsidR="00674353" w:rsidRPr="00443C4B" w14:paraId="519847E3" w14:textId="77777777" w:rsidTr="00A24B31">
        <w:trPr>
          <w:cantSplit/>
        </w:trPr>
        <w:tc>
          <w:tcPr>
            <w:tcW w:w="2385" w:type="dxa"/>
            <w:vMerge/>
            <w:tcBorders>
              <w:top w:val="nil"/>
              <w:bottom w:val="single" w:sz="4" w:space="0" w:color="auto"/>
            </w:tcBorders>
            <w:vAlign w:val="center"/>
          </w:tcPr>
          <w:p w14:paraId="14EAA7C5"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bottom w:val="single" w:sz="4" w:space="0" w:color="auto"/>
            </w:tcBorders>
            <w:vAlign w:val="center"/>
          </w:tcPr>
          <w:p w14:paraId="0932FBB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Yüksek Lisans</w:t>
            </w:r>
          </w:p>
        </w:tc>
        <w:tc>
          <w:tcPr>
            <w:tcW w:w="1452" w:type="dxa"/>
            <w:tcBorders>
              <w:top w:val="nil"/>
              <w:bottom w:val="single" w:sz="4" w:space="0" w:color="auto"/>
            </w:tcBorders>
            <w:vAlign w:val="center"/>
          </w:tcPr>
          <w:p w14:paraId="03EFA2CE"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56</w:t>
            </w:r>
          </w:p>
        </w:tc>
        <w:tc>
          <w:tcPr>
            <w:tcW w:w="1534" w:type="dxa"/>
            <w:tcBorders>
              <w:top w:val="nil"/>
              <w:bottom w:val="single" w:sz="4" w:space="0" w:color="auto"/>
            </w:tcBorders>
            <w:vAlign w:val="center"/>
          </w:tcPr>
          <w:p w14:paraId="1B456DF6"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16,7</w:t>
            </w:r>
          </w:p>
        </w:tc>
      </w:tr>
      <w:tr w:rsidR="00674353" w:rsidRPr="00443C4B" w14:paraId="56F41F74" w14:textId="77777777" w:rsidTr="00A24B31">
        <w:trPr>
          <w:cantSplit/>
        </w:trPr>
        <w:tc>
          <w:tcPr>
            <w:tcW w:w="2385" w:type="dxa"/>
            <w:vMerge w:val="restart"/>
            <w:tcBorders>
              <w:top w:val="single" w:sz="4" w:space="0" w:color="auto"/>
              <w:bottom w:val="nil"/>
            </w:tcBorders>
            <w:vAlign w:val="center"/>
          </w:tcPr>
          <w:p w14:paraId="5A0AC14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Görev Yapılan Okul Türü</w:t>
            </w:r>
          </w:p>
        </w:tc>
        <w:tc>
          <w:tcPr>
            <w:tcW w:w="3610" w:type="dxa"/>
            <w:tcBorders>
              <w:top w:val="single" w:sz="4" w:space="0" w:color="auto"/>
              <w:bottom w:val="nil"/>
            </w:tcBorders>
            <w:vAlign w:val="center"/>
          </w:tcPr>
          <w:p w14:paraId="69A5BD9F"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İlkokul</w:t>
            </w:r>
          </w:p>
        </w:tc>
        <w:tc>
          <w:tcPr>
            <w:tcW w:w="1452" w:type="dxa"/>
            <w:tcBorders>
              <w:top w:val="single" w:sz="4" w:space="0" w:color="auto"/>
              <w:bottom w:val="nil"/>
            </w:tcBorders>
            <w:vAlign w:val="center"/>
          </w:tcPr>
          <w:p w14:paraId="16686E22"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77</w:t>
            </w:r>
          </w:p>
        </w:tc>
        <w:tc>
          <w:tcPr>
            <w:tcW w:w="1534" w:type="dxa"/>
            <w:tcBorders>
              <w:top w:val="single" w:sz="4" w:space="0" w:color="auto"/>
              <w:bottom w:val="nil"/>
            </w:tcBorders>
            <w:vAlign w:val="center"/>
          </w:tcPr>
          <w:p w14:paraId="3F55BB02"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22,9</w:t>
            </w:r>
          </w:p>
        </w:tc>
      </w:tr>
      <w:tr w:rsidR="00674353" w:rsidRPr="00443C4B" w14:paraId="59B951C8" w14:textId="77777777" w:rsidTr="00A24B31">
        <w:trPr>
          <w:cantSplit/>
        </w:trPr>
        <w:tc>
          <w:tcPr>
            <w:tcW w:w="2385" w:type="dxa"/>
            <w:vMerge/>
            <w:tcBorders>
              <w:top w:val="nil"/>
            </w:tcBorders>
            <w:vAlign w:val="center"/>
          </w:tcPr>
          <w:p w14:paraId="6E679C46"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tcBorders>
            <w:vAlign w:val="center"/>
          </w:tcPr>
          <w:p w14:paraId="17E3224B"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Ortaokul</w:t>
            </w:r>
          </w:p>
        </w:tc>
        <w:tc>
          <w:tcPr>
            <w:tcW w:w="1452" w:type="dxa"/>
            <w:tcBorders>
              <w:top w:val="nil"/>
            </w:tcBorders>
            <w:vAlign w:val="center"/>
          </w:tcPr>
          <w:p w14:paraId="7FA74A45"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104</w:t>
            </w:r>
          </w:p>
        </w:tc>
        <w:tc>
          <w:tcPr>
            <w:tcW w:w="1534" w:type="dxa"/>
            <w:tcBorders>
              <w:top w:val="nil"/>
            </w:tcBorders>
            <w:vAlign w:val="center"/>
          </w:tcPr>
          <w:p w14:paraId="4FD92DA7"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31,0</w:t>
            </w:r>
          </w:p>
        </w:tc>
      </w:tr>
      <w:tr w:rsidR="00674353" w:rsidRPr="00443C4B" w14:paraId="2DDA581F" w14:textId="77777777" w:rsidTr="00A24B31">
        <w:trPr>
          <w:cantSplit/>
        </w:trPr>
        <w:tc>
          <w:tcPr>
            <w:tcW w:w="2385" w:type="dxa"/>
            <w:vMerge/>
            <w:tcBorders>
              <w:bottom w:val="single" w:sz="4" w:space="0" w:color="auto"/>
            </w:tcBorders>
            <w:vAlign w:val="center"/>
          </w:tcPr>
          <w:p w14:paraId="358357FF"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bottom w:val="single" w:sz="4" w:space="0" w:color="auto"/>
            </w:tcBorders>
            <w:vAlign w:val="center"/>
          </w:tcPr>
          <w:p w14:paraId="0AD3B286"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Lise</w:t>
            </w:r>
          </w:p>
        </w:tc>
        <w:tc>
          <w:tcPr>
            <w:tcW w:w="1452" w:type="dxa"/>
            <w:tcBorders>
              <w:bottom w:val="single" w:sz="4" w:space="0" w:color="auto"/>
            </w:tcBorders>
            <w:vAlign w:val="center"/>
          </w:tcPr>
          <w:p w14:paraId="76746CD5"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155</w:t>
            </w:r>
          </w:p>
        </w:tc>
        <w:tc>
          <w:tcPr>
            <w:tcW w:w="1534" w:type="dxa"/>
            <w:tcBorders>
              <w:bottom w:val="single" w:sz="4" w:space="0" w:color="auto"/>
            </w:tcBorders>
            <w:vAlign w:val="center"/>
          </w:tcPr>
          <w:p w14:paraId="6B802362"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46,1</w:t>
            </w:r>
          </w:p>
        </w:tc>
      </w:tr>
      <w:tr w:rsidR="00674353" w:rsidRPr="00443C4B" w14:paraId="7A66076B" w14:textId="77777777" w:rsidTr="00A24B31">
        <w:trPr>
          <w:cantSplit/>
        </w:trPr>
        <w:tc>
          <w:tcPr>
            <w:tcW w:w="2385" w:type="dxa"/>
            <w:vMerge w:val="restart"/>
            <w:tcBorders>
              <w:top w:val="single" w:sz="4" w:space="0" w:color="auto"/>
              <w:bottom w:val="nil"/>
            </w:tcBorders>
            <w:vAlign w:val="center"/>
          </w:tcPr>
          <w:p w14:paraId="2C7357EF"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Yöneticilik Görevi</w:t>
            </w:r>
          </w:p>
        </w:tc>
        <w:tc>
          <w:tcPr>
            <w:tcW w:w="3610" w:type="dxa"/>
            <w:tcBorders>
              <w:top w:val="single" w:sz="4" w:space="0" w:color="auto"/>
              <w:bottom w:val="nil"/>
            </w:tcBorders>
            <w:vAlign w:val="center"/>
          </w:tcPr>
          <w:p w14:paraId="600127E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Okul Müdürü</w:t>
            </w:r>
          </w:p>
        </w:tc>
        <w:tc>
          <w:tcPr>
            <w:tcW w:w="1452" w:type="dxa"/>
            <w:tcBorders>
              <w:top w:val="single" w:sz="4" w:space="0" w:color="auto"/>
              <w:bottom w:val="nil"/>
            </w:tcBorders>
            <w:vAlign w:val="center"/>
          </w:tcPr>
          <w:p w14:paraId="27652FC6"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177</w:t>
            </w:r>
          </w:p>
        </w:tc>
        <w:tc>
          <w:tcPr>
            <w:tcW w:w="1534" w:type="dxa"/>
            <w:tcBorders>
              <w:top w:val="single" w:sz="4" w:space="0" w:color="auto"/>
              <w:bottom w:val="nil"/>
            </w:tcBorders>
            <w:vAlign w:val="center"/>
          </w:tcPr>
          <w:p w14:paraId="6FE68AC1"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52,7</w:t>
            </w:r>
          </w:p>
        </w:tc>
      </w:tr>
      <w:tr w:rsidR="00674353" w:rsidRPr="00443C4B" w14:paraId="7195CE2B" w14:textId="77777777" w:rsidTr="00A24B31">
        <w:trPr>
          <w:cantSplit/>
        </w:trPr>
        <w:tc>
          <w:tcPr>
            <w:tcW w:w="2385" w:type="dxa"/>
            <w:vMerge/>
            <w:tcBorders>
              <w:top w:val="nil"/>
              <w:bottom w:val="single" w:sz="4" w:space="0" w:color="auto"/>
            </w:tcBorders>
            <w:vAlign w:val="center"/>
          </w:tcPr>
          <w:p w14:paraId="37379712"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bottom w:val="single" w:sz="4" w:space="0" w:color="auto"/>
            </w:tcBorders>
            <w:vAlign w:val="center"/>
          </w:tcPr>
          <w:p w14:paraId="6AAB697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Okul Müdür Yardımcısı</w:t>
            </w:r>
          </w:p>
        </w:tc>
        <w:tc>
          <w:tcPr>
            <w:tcW w:w="1452" w:type="dxa"/>
            <w:tcBorders>
              <w:top w:val="nil"/>
              <w:bottom w:val="single" w:sz="4" w:space="0" w:color="auto"/>
            </w:tcBorders>
            <w:vAlign w:val="center"/>
          </w:tcPr>
          <w:p w14:paraId="4CFA424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159</w:t>
            </w:r>
          </w:p>
        </w:tc>
        <w:tc>
          <w:tcPr>
            <w:tcW w:w="1534" w:type="dxa"/>
            <w:tcBorders>
              <w:top w:val="nil"/>
              <w:bottom w:val="single" w:sz="4" w:space="0" w:color="auto"/>
            </w:tcBorders>
            <w:vAlign w:val="center"/>
          </w:tcPr>
          <w:p w14:paraId="37CDE9F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47,3</w:t>
            </w:r>
          </w:p>
        </w:tc>
      </w:tr>
      <w:tr w:rsidR="00674353" w:rsidRPr="00443C4B" w14:paraId="003F12F9" w14:textId="77777777" w:rsidTr="00A24B31">
        <w:trPr>
          <w:cantSplit/>
        </w:trPr>
        <w:tc>
          <w:tcPr>
            <w:tcW w:w="2385" w:type="dxa"/>
            <w:vMerge w:val="restart"/>
            <w:tcBorders>
              <w:top w:val="single" w:sz="4" w:space="0" w:color="auto"/>
              <w:bottom w:val="nil"/>
            </w:tcBorders>
            <w:vAlign w:val="center"/>
          </w:tcPr>
          <w:p w14:paraId="1B134A3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Yöneticilik Süresi</w:t>
            </w:r>
          </w:p>
        </w:tc>
        <w:tc>
          <w:tcPr>
            <w:tcW w:w="3610" w:type="dxa"/>
            <w:tcBorders>
              <w:top w:val="single" w:sz="4" w:space="0" w:color="auto"/>
              <w:bottom w:val="nil"/>
            </w:tcBorders>
            <w:vAlign w:val="center"/>
          </w:tcPr>
          <w:p w14:paraId="4E133743"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 yıl</w:t>
            </w:r>
          </w:p>
        </w:tc>
        <w:tc>
          <w:tcPr>
            <w:tcW w:w="1452" w:type="dxa"/>
            <w:tcBorders>
              <w:top w:val="single" w:sz="4" w:space="0" w:color="auto"/>
              <w:bottom w:val="nil"/>
            </w:tcBorders>
            <w:vAlign w:val="center"/>
          </w:tcPr>
          <w:p w14:paraId="523BD4E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141</w:t>
            </w:r>
          </w:p>
        </w:tc>
        <w:tc>
          <w:tcPr>
            <w:tcW w:w="1534" w:type="dxa"/>
            <w:tcBorders>
              <w:top w:val="single" w:sz="4" w:space="0" w:color="auto"/>
              <w:bottom w:val="nil"/>
            </w:tcBorders>
            <w:vAlign w:val="center"/>
          </w:tcPr>
          <w:p w14:paraId="5C63EB1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42,0</w:t>
            </w:r>
          </w:p>
        </w:tc>
      </w:tr>
      <w:tr w:rsidR="00674353" w:rsidRPr="00443C4B" w14:paraId="7592F43F" w14:textId="77777777" w:rsidTr="00A24B31">
        <w:trPr>
          <w:cantSplit/>
        </w:trPr>
        <w:tc>
          <w:tcPr>
            <w:tcW w:w="2385" w:type="dxa"/>
            <w:vMerge/>
            <w:tcBorders>
              <w:top w:val="nil"/>
            </w:tcBorders>
            <w:vAlign w:val="center"/>
          </w:tcPr>
          <w:p w14:paraId="0EC79BB9"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tcBorders>
            <w:vAlign w:val="center"/>
          </w:tcPr>
          <w:p w14:paraId="1AADC3B4"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6-10 yıl</w:t>
            </w:r>
          </w:p>
        </w:tc>
        <w:tc>
          <w:tcPr>
            <w:tcW w:w="1452" w:type="dxa"/>
            <w:tcBorders>
              <w:top w:val="nil"/>
            </w:tcBorders>
            <w:vAlign w:val="center"/>
          </w:tcPr>
          <w:p w14:paraId="17399AC7"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141</w:t>
            </w:r>
          </w:p>
        </w:tc>
        <w:tc>
          <w:tcPr>
            <w:tcW w:w="1534" w:type="dxa"/>
            <w:tcBorders>
              <w:top w:val="nil"/>
            </w:tcBorders>
            <w:vAlign w:val="center"/>
          </w:tcPr>
          <w:p w14:paraId="17F38DC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42,0</w:t>
            </w:r>
          </w:p>
        </w:tc>
      </w:tr>
      <w:tr w:rsidR="00674353" w:rsidRPr="00443C4B" w14:paraId="65255BE8" w14:textId="77777777" w:rsidTr="00A24B31">
        <w:trPr>
          <w:cantSplit/>
        </w:trPr>
        <w:tc>
          <w:tcPr>
            <w:tcW w:w="2385" w:type="dxa"/>
            <w:vMerge/>
            <w:vAlign w:val="center"/>
          </w:tcPr>
          <w:p w14:paraId="21B108EF"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vAlign w:val="center"/>
          </w:tcPr>
          <w:p w14:paraId="1FB0820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11-15 yıl</w:t>
            </w:r>
          </w:p>
        </w:tc>
        <w:tc>
          <w:tcPr>
            <w:tcW w:w="1452" w:type="dxa"/>
            <w:vAlign w:val="center"/>
          </w:tcPr>
          <w:p w14:paraId="51793224"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39</w:t>
            </w:r>
          </w:p>
        </w:tc>
        <w:tc>
          <w:tcPr>
            <w:tcW w:w="1534" w:type="dxa"/>
            <w:vAlign w:val="center"/>
          </w:tcPr>
          <w:p w14:paraId="318562A0"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11,6</w:t>
            </w:r>
          </w:p>
        </w:tc>
      </w:tr>
      <w:tr w:rsidR="00674353" w:rsidRPr="00443C4B" w14:paraId="4A640A17" w14:textId="77777777" w:rsidTr="00A24B31">
        <w:trPr>
          <w:cantSplit/>
        </w:trPr>
        <w:tc>
          <w:tcPr>
            <w:tcW w:w="2385" w:type="dxa"/>
            <w:vMerge/>
            <w:tcBorders>
              <w:bottom w:val="single" w:sz="4" w:space="0" w:color="auto"/>
            </w:tcBorders>
            <w:vAlign w:val="center"/>
          </w:tcPr>
          <w:p w14:paraId="6543AD91"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bottom w:val="single" w:sz="4" w:space="0" w:color="auto"/>
            </w:tcBorders>
            <w:vAlign w:val="center"/>
          </w:tcPr>
          <w:p w14:paraId="70668F2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16 yıl ve üzeri</w:t>
            </w:r>
          </w:p>
        </w:tc>
        <w:tc>
          <w:tcPr>
            <w:tcW w:w="1452" w:type="dxa"/>
            <w:tcBorders>
              <w:bottom w:val="single" w:sz="4" w:space="0" w:color="auto"/>
            </w:tcBorders>
            <w:vAlign w:val="center"/>
          </w:tcPr>
          <w:p w14:paraId="298ED88F"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w:t>
            </w:r>
          </w:p>
        </w:tc>
        <w:tc>
          <w:tcPr>
            <w:tcW w:w="1534" w:type="dxa"/>
            <w:tcBorders>
              <w:bottom w:val="single" w:sz="4" w:space="0" w:color="auto"/>
            </w:tcBorders>
            <w:vAlign w:val="center"/>
          </w:tcPr>
          <w:p w14:paraId="6816B67F"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4,5</w:t>
            </w:r>
          </w:p>
        </w:tc>
      </w:tr>
      <w:tr w:rsidR="00674353" w:rsidRPr="00443C4B" w14:paraId="4FC4CFD2" w14:textId="77777777" w:rsidTr="00A24B31">
        <w:trPr>
          <w:cantSplit/>
        </w:trPr>
        <w:tc>
          <w:tcPr>
            <w:tcW w:w="2385" w:type="dxa"/>
            <w:vMerge w:val="restart"/>
            <w:tcBorders>
              <w:top w:val="single" w:sz="4" w:space="0" w:color="auto"/>
              <w:bottom w:val="nil"/>
            </w:tcBorders>
            <w:vAlign w:val="center"/>
          </w:tcPr>
          <w:p w14:paraId="7AE3FA0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Öğretmenlik Süresi</w:t>
            </w:r>
          </w:p>
        </w:tc>
        <w:tc>
          <w:tcPr>
            <w:tcW w:w="3610" w:type="dxa"/>
            <w:tcBorders>
              <w:top w:val="single" w:sz="4" w:space="0" w:color="auto"/>
              <w:bottom w:val="nil"/>
            </w:tcBorders>
            <w:vAlign w:val="center"/>
          </w:tcPr>
          <w:p w14:paraId="16FBF16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1-5 yıl</w:t>
            </w:r>
          </w:p>
        </w:tc>
        <w:tc>
          <w:tcPr>
            <w:tcW w:w="1452" w:type="dxa"/>
            <w:tcBorders>
              <w:top w:val="single" w:sz="4" w:space="0" w:color="auto"/>
              <w:bottom w:val="nil"/>
            </w:tcBorders>
            <w:vAlign w:val="center"/>
          </w:tcPr>
          <w:p w14:paraId="5A68D6DB"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81</w:t>
            </w:r>
          </w:p>
        </w:tc>
        <w:tc>
          <w:tcPr>
            <w:tcW w:w="1534" w:type="dxa"/>
            <w:tcBorders>
              <w:top w:val="single" w:sz="4" w:space="0" w:color="auto"/>
              <w:bottom w:val="nil"/>
            </w:tcBorders>
            <w:vAlign w:val="center"/>
          </w:tcPr>
          <w:p w14:paraId="0307729E"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24,1</w:t>
            </w:r>
          </w:p>
        </w:tc>
      </w:tr>
      <w:tr w:rsidR="00674353" w:rsidRPr="00443C4B" w14:paraId="1EAC9454" w14:textId="77777777" w:rsidTr="00A24B31">
        <w:trPr>
          <w:cantSplit/>
        </w:trPr>
        <w:tc>
          <w:tcPr>
            <w:tcW w:w="2385" w:type="dxa"/>
            <w:vMerge/>
            <w:tcBorders>
              <w:top w:val="nil"/>
            </w:tcBorders>
            <w:vAlign w:val="center"/>
          </w:tcPr>
          <w:p w14:paraId="4C657C83"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tcBorders>
              <w:top w:val="nil"/>
            </w:tcBorders>
            <w:vAlign w:val="center"/>
          </w:tcPr>
          <w:p w14:paraId="6C669A8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6-10 yıl</w:t>
            </w:r>
          </w:p>
        </w:tc>
        <w:tc>
          <w:tcPr>
            <w:tcW w:w="1452" w:type="dxa"/>
            <w:tcBorders>
              <w:top w:val="nil"/>
            </w:tcBorders>
            <w:vAlign w:val="center"/>
          </w:tcPr>
          <w:p w14:paraId="374357A8"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146</w:t>
            </w:r>
          </w:p>
        </w:tc>
        <w:tc>
          <w:tcPr>
            <w:tcW w:w="1534" w:type="dxa"/>
            <w:tcBorders>
              <w:top w:val="nil"/>
            </w:tcBorders>
            <w:vAlign w:val="center"/>
          </w:tcPr>
          <w:p w14:paraId="2D869270"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43,5</w:t>
            </w:r>
          </w:p>
        </w:tc>
      </w:tr>
      <w:tr w:rsidR="00674353" w:rsidRPr="00443C4B" w14:paraId="43A66734" w14:textId="77777777" w:rsidTr="00A24B31">
        <w:trPr>
          <w:cantSplit/>
        </w:trPr>
        <w:tc>
          <w:tcPr>
            <w:tcW w:w="2385" w:type="dxa"/>
            <w:vMerge/>
            <w:vAlign w:val="center"/>
          </w:tcPr>
          <w:p w14:paraId="5DC3127C"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vAlign w:val="center"/>
          </w:tcPr>
          <w:p w14:paraId="1FA91330"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11-15 yıl</w:t>
            </w:r>
          </w:p>
        </w:tc>
        <w:tc>
          <w:tcPr>
            <w:tcW w:w="1452" w:type="dxa"/>
            <w:vAlign w:val="center"/>
          </w:tcPr>
          <w:p w14:paraId="3451E0BF"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75</w:t>
            </w:r>
          </w:p>
        </w:tc>
        <w:tc>
          <w:tcPr>
            <w:tcW w:w="1534" w:type="dxa"/>
            <w:vAlign w:val="center"/>
          </w:tcPr>
          <w:p w14:paraId="4427BDBA"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22,3</w:t>
            </w:r>
          </w:p>
        </w:tc>
      </w:tr>
      <w:tr w:rsidR="00674353" w:rsidRPr="00443C4B" w14:paraId="5498E639" w14:textId="77777777" w:rsidTr="00A24B31">
        <w:trPr>
          <w:cantSplit/>
        </w:trPr>
        <w:tc>
          <w:tcPr>
            <w:tcW w:w="2385" w:type="dxa"/>
            <w:vMerge/>
            <w:vAlign w:val="center"/>
          </w:tcPr>
          <w:p w14:paraId="61D21F8A" w14:textId="77777777" w:rsidR="00674353" w:rsidRPr="00443C4B" w:rsidRDefault="00674353" w:rsidP="00443C4B">
            <w:pPr>
              <w:autoSpaceDE w:val="0"/>
              <w:autoSpaceDN w:val="0"/>
              <w:adjustRightInd w:val="0"/>
              <w:spacing w:before="0" w:after="0" w:line="240" w:lineRule="auto"/>
              <w:jc w:val="left"/>
              <w:rPr>
                <w:rFonts w:cs="Times New Roman"/>
                <w:sz w:val="20"/>
                <w:szCs w:val="20"/>
              </w:rPr>
            </w:pPr>
          </w:p>
        </w:tc>
        <w:tc>
          <w:tcPr>
            <w:tcW w:w="3610" w:type="dxa"/>
            <w:vAlign w:val="center"/>
          </w:tcPr>
          <w:p w14:paraId="5510CF51"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16 yıl ve üzeri</w:t>
            </w:r>
          </w:p>
        </w:tc>
        <w:tc>
          <w:tcPr>
            <w:tcW w:w="1452" w:type="dxa"/>
            <w:vAlign w:val="center"/>
          </w:tcPr>
          <w:p w14:paraId="00EE3CA2"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34</w:t>
            </w:r>
          </w:p>
        </w:tc>
        <w:tc>
          <w:tcPr>
            <w:tcW w:w="1534" w:type="dxa"/>
            <w:vAlign w:val="center"/>
          </w:tcPr>
          <w:p w14:paraId="4E98BD09" w14:textId="77777777" w:rsidR="00674353" w:rsidRPr="00443C4B" w:rsidRDefault="00674353" w:rsidP="00443C4B">
            <w:pPr>
              <w:autoSpaceDE w:val="0"/>
              <w:autoSpaceDN w:val="0"/>
              <w:adjustRightInd w:val="0"/>
              <w:spacing w:before="0" w:after="0" w:line="240" w:lineRule="auto"/>
              <w:ind w:left="60" w:right="60"/>
              <w:jc w:val="left"/>
              <w:rPr>
                <w:rFonts w:cs="Times New Roman"/>
                <w:sz w:val="20"/>
                <w:szCs w:val="20"/>
              </w:rPr>
            </w:pPr>
            <w:r w:rsidRPr="00443C4B">
              <w:rPr>
                <w:rFonts w:cs="Times New Roman"/>
                <w:sz w:val="20"/>
                <w:szCs w:val="20"/>
              </w:rPr>
              <w:t>10,1</w:t>
            </w:r>
          </w:p>
        </w:tc>
      </w:tr>
    </w:tbl>
    <w:p w14:paraId="1D26C161" w14:textId="77777777" w:rsidR="00443C4B" w:rsidRPr="00443C4B" w:rsidRDefault="00443C4B" w:rsidP="00443C4B">
      <w:pPr>
        <w:rPr>
          <w:spacing w:val="4"/>
          <w:sz w:val="22"/>
          <w:lang w:eastAsia="tr-TR"/>
        </w:rPr>
      </w:pPr>
      <w:bookmarkStart w:id="3" w:name="_Toc177524261"/>
      <w:bookmarkEnd w:id="2"/>
      <w:r w:rsidRPr="00443C4B">
        <w:rPr>
          <w:spacing w:val="4"/>
          <w:sz w:val="22"/>
          <w:lang w:eastAsia="tr-TR"/>
        </w:rPr>
        <w:t xml:space="preserve">Tablo 1’de görüldüğü üzere, katılımcıların %39'u kadın (n = 131), %61'i erkektir (n = 205). Yaş dağılımlarına bakıldığında, katılımcıların %9,2'si 21-30 yaş aralığında (n = 31), %44,6'sı 31-40 yaş </w:t>
      </w:r>
      <w:r w:rsidRPr="00443C4B">
        <w:rPr>
          <w:spacing w:val="4"/>
          <w:sz w:val="22"/>
          <w:lang w:eastAsia="tr-TR"/>
        </w:rPr>
        <w:lastRenderedPageBreak/>
        <w:t>aralığında (n = 150), %32,7'si 41-50 yaş aralığında (n = 110) ve %13,4'ü 51 yaş ve üzerindedir (n = 45). Katılımcıların büyük çoğunluğu lisans mezunudur (%83,3, n = 280), %16,7'si ise yüksek lisans derecesine sahiptir (n = 56).</w:t>
      </w:r>
    </w:p>
    <w:p w14:paraId="72D56B3F" w14:textId="77777777" w:rsidR="00443C4B" w:rsidRPr="00443C4B" w:rsidRDefault="00443C4B" w:rsidP="00443C4B">
      <w:pPr>
        <w:rPr>
          <w:spacing w:val="4"/>
          <w:sz w:val="22"/>
          <w:lang w:eastAsia="tr-TR"/>
        </w:rPr>
      </w:pPr>
      <w:r w:rsidRPr="00443C4B">
        <w:rPr>
          <w:spacing w:val="4"/>
          <w:sz w:val="22"/>
          <w:lang w:eastAsia="tr-TR"/>
        </w:rPr>
        <w:t>Okul yöneticilerinin %22,9'u ilkokulda (n = 77), %31'i ortaokulda (n = 104) ve %46,1'i lisede (n = 155) görev yapmaktadır. Katılımcıların %22'si Bağcılar ilçesinde (n = 74), %48,2'si Bahçelievler ilçesinde (n = 162) ve %29,8'i Esenler ilçesinde (n = 100) çalışmaktadır. Katılımcıların %52,7'si okul müdürü (n = 177), %47,3'ü ise okul müdür yardımcısı (n = 159) olarak görev almaktadır.</w:t>
      </w:r>
    </w:p>
    <w:p w14:paraId="6746AB4E" w14:textId="107D1C79" w:rsidR="00443C4B" w:rsidRPr="00443C4B" w:rsidRDefault="00443C4B" w:rsidP="00443C4B">
      <w:pPr>
        <w:rPr>
          <w:spacing w:val="4"/>
          <w:sz w:val="22"/>
          <w:lang w:eastAsia="tr-TR"/>
        </w:rPr>
      </w:pPr>
      <w:r w:rsidRPr="00443C4B">
        <w:rPr>
          <w:spacing w:val="4"/>
          <w:sz w:val="22"/>
          <w:lang w:eastAsia="tr-TR"/>
        </w:rPr>
        <w:t>Yöneticilik süresi açısından, katılımcıların %42'si 1-5 yıl (n = 141) ve 6-10 yıl (n = 141) aralığında, %11,6'sı 11-15 yıl aralığında (n = 39) ve %4,5'i 16 yıl ve üzeri (n = 15) yöneticilik deneyimine sahiptir. Öğretmenlik sürelerine bakıldığında, katılımcıların %24,1'i 1-5 yıl (n = 81), %43,5'i 6-10 yıl (n = 146), %22,3'ü 11-15 yıl (n = 75) ve %10,1'i 16 yıl ve üzeri (n = 34) öğretmenlik deneyimine sahiptir.</w:t>
      </w:r>
    </w:p>
    <w:p w14:paraId="106C5BEE" w14:textId="6286C529" w:rsidR="00674353" w:rsidRPr="00443C4B" w:rsidRDefault="00674353" w:rsidP="00443C4B">
      <w:pPr>
        <w:pStyle w:val="2Balk"/>
        <w:numPr>
          <w:ilvl w:val="0"/>
          <w:numId w:val="0"/>
        </w:numPr>
        <w:rPr>
          <w:spacing w:val="4"/>
          <w:sz w:val="22"/>
          <w:szCs w:val="22"/>
          <w:lang w:eastAsia="tr-TR"/>
        </w:rPr>
      </w:pPr>
      <w:r w:rsidRPr="00443C4B">
        <w:rPr>
          <w:spacing w:val="4"/>
          <w:sz w:val="22"/>
          <w:szCs w:val="22"/>
          <w:lang w:eastAsia="tr-TR"/>
        </w:rPr>
        <w:t>Güvenilirlik Analizi</w:t>
      </w:r>
      <w:bookmarkEnd w:id="3"/>
    </w:p>
    <w:p w14:paraId="280F819E" w14:textId="01CAAE28" w:rsidR="00674353" w:rsidRPr="00443C4B" w:rsidRDefault="00674353" w:rsidP="00674353">
      <w:pPr>
        <w:rPr>
          <w:spacing w:val="4"/>
          <w:sz w:val="22"/>
          <w:lang w:eastAsia="tr-TR"/>
        </w:rPr>
      </w:pPr>
      <w:r w:rsidRPr="00443C4B">
        <w:rPr>
          <w:spacing w:val="4"/>
          <w:sz w:val="22"/>
          <w:lang w:eastAsia="tr-TR"/>
        </w:rPr>
        <w:t xml:space="preserve">Araştırma verilerinin toplanmasında kullanılan ölçeklerin güvenilirlik analizi sonuçları Tablo </w:t>
      </w:r>
      <w:r w:rsidR="00443C4B">
        <w:rPr>
          <w:spacing w:val="4"/>
          <w:sz w:val="22"/>
          <w:lang w:eastAsia="tr-TR"/>
        </w:rPr>
        <w:t>2</w:t>
      </w:r>
      <w:r w:rsidRPr="00443C4B">
        <w:rPr>
          <w:spacing w:val="4"/>
          <w:sz w:val="22"/>
          <w:lang w:eastAsia="tr-TR"/>
        </w:rPr>
        <w:t>’</w:t>
      </w:r>
      <w:r w:rsidR="00443C4B">
        <w:rPr>
          <w:spacing w:val="4"/>
          <w:sz w:val="22"/>
          <w:lang w:eastAsia="tr-TR"/>
        </w:rPr>
        <w:t>d</w:t>
      </w:r>
      <w:r w:rsidRPr="00443C4B">
        <w:rPr>
          <w:spacing w:val="4"/>
          <w:sz w:val="22"/>
          <w:lang w:eastAsia="tr-TR"/>
        </w:rPr>
        <w:t>e yer almaktadır.</w:t>
      </w:r>
    </w:p>
    <w:p w14:paraId="75EC612A" w14:textId="15C5106B" w:rsidR="00674353" w:rsidRPr="009E23E1" w:rsidRDefault="00674353" w:rsidP="00674353">
      <w:pPr>
        <w:pStyle w:val="ResimYazs"/>
        <w:keepNext/>
        <w:keepLines/>
        <w:spacing w:before="120" w:after="120"/>
        <w:jc w:val="center"/>
        <w:rPr>
          <w:color w:val="000000" w:themeColor="text1"/>
          <w:spacing w:val="4"/>
          <w:sz w:val="24"/>
          <w:szCs w:val="24"/>
          <w:lang w:eastAsia="tr-TR"/>
        </w:rPr>
      </w:pPr>
      <w:bookmarkStart w:id="4" w:name="_Toc177524345"/>
      <w:r w:rsidRPr="009E23E1">
        <w:rPr>
          <w:color w:val="000000" w:themeColor="text1"/>
          <w:sz w:val="24"/>
          <w:szCs w:val="24"/>
        </w:rPr>
        <w:t xml:space="preserve">Tablo </w:t>
      </w:r>
      <w:r w:rsidR="00443C4B">
        <w:rPr>
          <w:color w:val="000000" w:themeColor="text1"/>
          <w:sz w:val="24"/>
          <w:szCs w:val="24"/>
        </w:rPr>
        <w:t>2</w:t>
      </w:r>
      <w:r w:rsidRPr="009E23E1">
        <w:rPr>
          <w:color w:val="000000" w:themeColor="text1"/>
          <w:sz w:val="24"/>
          <w:szCs w:val="24"/>
        </w:rPr>
        <w:t xml:space="preserve">. </w:t>
      </w:r>
      <w:r>
        <w:rPr>
          <w:color w:val="000000" w:themeColor="text1"/>
          <w:sz w:val="24"/>
          <w:szCs w:val="24"/>
        </w:rPr>
        <w:t>Güvenilirlik Analizi</w:t>
      </w:r>
      <w:r w:rsidRPr="00AB53B7">
        <w:rPr>
          <w:color w:val="000000" w:themeColor="text1"/>
          <w:sz w:val="24"/>
          <w:szCs w:val="24"/>
        </w:rPr>
        <w:t xml:space="preserve"> Sonuçları</w:t>
      </w:r>
      <w:bookmarkEnd w:id="4"/>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95"/>
        <w:gridCol w:w="2495"/>
      </w:tblGrid>
      <w:tr w:rsidR="00674353" w:rsidRPr="0088080D" w14:paraId="3F4A9B43" w14:textId="77777777" w:rsidTr="00A24B31">
        <w:tc>
          <w:tcPr>
            <w:tcW w:w="3369" w:type="dxa"/>
            <w:tcBorders>
              <w:bottom w:val="single" w:sz="4" w:space="0" w:color="auto"/>
            </w:tcBorders>
          </w:tcPr>
          <w:p w14:paraId="08586F23" w14:textId="77777777" w:rsidR="00674353" w:rsidRPr="0088080D" w:rsidRDefault="00674353" w:rsidP="00443C4B">
            <w:pPr>
              <w:spacing w:before="0" w:after="0" w:line="240" w:lineRule="auto"/>
              <w:jc w:val="left"/>
              <w:rPr>
                <w:b/>
                <w:spacing w:val="4"/>
                <w:lang w:eastAsia="tr-TR"/>
              </w:rPr>
            </w:pPr>
            <w:r w:rsidRPr="0088080D">
              <w:rPr>
                <w:b/>
                <w:spacing w:val="4"/>
                <w:lang w:eastAsia="tr-TR"/>
              </w:rPr>
              <w:t>Ölçek</w:t>
            </w:r>
          </w:p>
        </w:tc>
        <w:tc>
          <w:tcPr>
            <w:tcW w:w="2495" w:type="dxa"/>
            <w:tcBorders>
              <w:bottom w:val="single" w:sz="4" w:space="0" w:color="auto"/>
            </w:tcBorders>
          </w:tcPr>
          <w:p w14:paraId="43AC5454" w14:textId="77777777" w:rsidR="00674353" w:rsidRPr="0088080D" w:rsidRDefault="00674353" w:rsidP="00443C4B">
            <w:pPr>
              <w:spacing w:before="0" w:after="0" w:line="240" w:lineRule="auto"/>
              <w:jc w:val="left"/>
              <w:rPr>
                <w:b/>
                <w:spacing w:val="4"/>
                <w:lang w:eastAsia="tr-TR"/>
              </w:rPr>
            </w:pPr>
            <w:r w:rsidRPr="0088080D">
              <w:rPr>
                <w:b/>
                <w:spacing w:val="4"/>
                <w:lang w:eastAsia="tr-TR"/>
              </w:rPr>
              <w:t>Madde Sayısı</w:t>
            </w:r>
          </w:p>
        </w:tc>
        <w:tc>
          <w:tcPr>
            <w:tcW w:w="2495" w:type="dxa"/>
            <w:tcBorders>
              <w:bottom w:val="single" w:sz="4" w:space="0" w:color="auto"/>
            </w:tcBorders>
          </w:tcPr>
          <w:p w14:paraId="452BE059" w14:textId="77777777" w:rsidR="00674353" w:rsidRPr="0088080D" w:rsidRDefault="00674353" w:rsidP="00443C4B">
            <w:pPr>
              <w:spacing w:before="0" w:after="0" w:line="240" w:lineRule="auto"/>
              <w:jc w:val="left"/>
              <w:rPr>
                <w:b/>
                <w:spacing w:val="4"/>
                <w:lang w:eastAsia="tr-TR"/>
              </w:rPr>
            </w:pPr>
            <w:r w:rsidRPr="0088080D">
              <w:rPr>
                <w:b/>
                <w:spacing w:val="4"/>
                <w:lang w:eastAsia="tr-TR"/>
              </w:rPr>
              <w:t>Cronbach Alpha</w:t>
            </w:r>
          </w:p>
        </w:tc>
      </w:tr>
      <w:tr w:rsidR="00674353" w14:paraId="5CB2393B" w14:textId="77777777" w:rsidTr="00A24B31">
        <w:tc>
          <w:tcPr>
            <w:tcW w:w="3369" w:type="dxa"/>
            <w:tcBorders>
              <w:top w:val="single" w:sz="4" w:space="0" w:color="auto"/>
              <w:bottom w:val="nil"/>
            </w:tcBorders>
          </w:tcPr>
          <w:p w14:paraId="2C332684" w14:textId="40E2CD75" w:rsidR="00674353" w:rsidRDefault="00504873" w:rsidP="00443C4B">
            <w:pPr>
              <w:spacing w:before="0" w:after="0" w:line="240" w:lineRule="auto"/>
              <w:jc w:val="left"/>
              <w:rPr>
                <w:spacing w:val="4"/>
                <w:lang w:eastAsia="tr-TR"/>
              </w:rPr>
            </w:pPr>
            <w:r>
              <w:rPr>
                <w:spacing w:val="4"/>
                <w:lang w:eastAsia="tr-TR"/>
              </w:rPr>
              <w:t>1. Boyut</w:t>
            </w:r>
          </w:p>
        </w:tc>
        <w:tc>
          <w:tcPr>
            <w:tcW w:w="2495" w:type="dxa"/>
            <w:tcBorders>
              <w:top w:val="single" w:sz="4" w:space="0" w:color="auto"/>
              <w:bottom w:val="nil"/>
            </w:tcBorders>
          </w:tcPr>
          <w:p w14:paraId="4159733D" w14:textId="77777777" w:rsidR="00674353" w:rsidRDefault="00674353" w:rsidP="00443C4B">
            <w:pPr>
              <w:spacing w:before="0" w:after="0" w:line="240" w:lineRule="auto"/>
              <w:jc w:val="left"/>
              <w:rPr>
                <w:spacing w:val="4"/>
                <w:lang w:eastAsia="tr-TR"/>
              </w:rPr>
            </w:pPr>
            <w:r>
              <w:rPr>
                <w:spacing w:val="4"/>
                <w:lang w:eastAsia="tr-TR"/>
              </w:rPr>
              <w:t>15</w:t>
            </w:r>
          </w:p>
        </w:tc>
        <w:tc>
          <w:tcPr>
            <w:tcW w:w="2495" w:type="dxa"/>
            <w:tcBorders>
              <w:top w:val="single" w:sz="4" w:space="0" w:color="auto"/>
              <w:bottom w:val="nil"/>
            </w:tcBorders>
          </w:tcPr>
          <w:p w14:paraId="1FA6CA79" w14:textId="77777777" w:rsidR="00674353" w:rsidRDefault="00674353" w:rsidP="00443C4B">
            <w:pPr>
              <w:spacing w:before="0" w:after="0" w:line="240" w:lineRule="auto"/>
              <w:jc w:val="left"/>
              <w:rPr>
                <w:spacing w:val="4"/>
                <w:lang w:eastAsia="tr-TR"/>
              </w:rPr>
            </w:pPr>
            <w:r>
              <w:rPr>
                <w:spacing w:val="4"/>
                <w:lang w:eastAsia="tr-TR"/>
              </w:rPr>
              <w:t>,952</w:t>
            </w:r>
          </w:p>
        </w:tc>
      </w:tr>
      <w:tr w:rsidR="00674353" w14:paraId="2E956A2D" w14:textId="77777777" w:rsidTr="00A24B31">
        <w:tc>
          <w:tcPr>
            <w:tcW w:w="3369" w:type="dxa"/>
            <w:tcBorders>
              <w:top w:val="nil"/>
            </w:tcBorders>
          </w:tcPr>
          <w:p w14:paraId="3C4A6BE5" w14:textId="7BCB8BC7" w:rsidR="00674353" w:rsidRDefault="00504873" w:rsidP="00443C4B">
            <w:pPr>
              <w:spacing w:before="0" w:after="0" w:line="240" w:lineRule="auto"/>
              <w:jc w:val="left"/>
              <w:rPr>
                <w:spacing w:val="4"/>
                <w:lang w:eastAsia="tr-TR"/>
              </w:rPr>
            </w:pPr>
            <w:r>
              <w:rPr>
                <w:spacing w:val="4"/>
                <w:lang w:eastAsia="tr-TR"/>
              </w:rPr>
              <w:t>2. Boyut</w:t>
            </w:r>
          </w:p>
        </w:tc>
        <w:tc>
          <w:tcPr>
            <w:tcW w:w="2495" w:type="dxa"/>
            <w:tcBorders>
              <w:top w:val="nil"/>
            </w:tcBorders>
          </w:tcPr>
          <w:p w14:paraId="0E19F368" w14:textId="77777777" w:rsidR="00674353" w:rsidRDefault="00674353" w:rsidP="00443C4B">
            <w:pPr>
              <w:spacing w:before="0" w:after="0" w:line="240" w:lineRule="auto"/>
              <w:jc w:val="left"/>
              <w:rPr>
                <w:spacing w:val="4"/>
                <w:lang w:eastAsia="tr-TR"/>
              </w:rPr>
            </w:pPr>
            <w:r>
              <w:rPr>
                <w:spacing w:val="4"/>
                <w:lang w:eastAsia="tr-TR"/>
              </w:rPr>
              <w:t>5</w:t>
            </w:r>
          </w:p>
        </w:tc>
        <w:tc>
          <w:tcPr>
            <w:tcW w:w="2495" w:type="dxa"/>
            <w:tcBorders>
              <w:top w:val="nil"/>
            </w:tcBorders>
          </w:tcPr>
          <w:p w14:paraId="149B8DA3" w14:textId="77777777" w:rsidR="00674353" w:rsidRDefault="00674353" w:rsidP="00443C4B">
            <w:pPr>
              <w:spacing w:before="0" w:after="0" w:line="240" w:lineRule="auto"/>
              <w:jc w:val="left"/>
              <w:rPr>
                <w:spacing w:val="4"/>
                <w:lang w:eastAsia="tr-TR"/>
              </w:rPr>
            </w:pPr>
            <w:r>
              <w:rPr>
                <w:spacing w:val="4"/>
                <w:lang w:eastAsia="tr-TR"/>
              </w:rPr>
              <w:t>,939</w:t>
            </w:r>
          </w:p>
        </w:tc>
      </w:tr>
      <w:tr w:rsidR="00504873" w14:paraId="1831D462" w14:textId="77777777" w:rsidTr="00A24B31">
        <w:tc>
          <w:tcPr>
            <w:tcW w:w="3369" w:type="dxa"/>
          </w:tcPr>
          <w:p w14:paraId="35171086" w14:textId="033ABC06" w:rsidR="00504873" w:rsidRDefault="00504873" w:rsidP="00443C4B">
            <w:pPr>
              <w:spacing w:before="0" w:after="0" w:line="240" w:lineRule="auto"/>
              <w:jc w:val="left"/>
              <w:rPr>
                <w:spacing w:val="4"/>
                <w:lang w:eastAsia="tr-TR"/>
              </w:rPr>
            </w:pPr>
            <w:r>
              <w:rPr>
                <w:spacing w:val="4"/>
                <w:lang w:eastAsia="tr-TR"/>
              </w:rPr>
              <w:t>3</w:t>
            </w:r>
            <w:r w:rsidRPr="00A852F5">
              <w:rPr>
                <w:spacing w:val="4"/>
                <w:lang w:eastAsia="tr-TR"/>
              </w:rPr>
              <w:t>. Boyut</w:t>
            </w:r>
          </w:p>
        </w:tc>
        <w:tc>
          <w:tcPr>
            <w:tcW w:w="2495" w:type="dxa"/>
          </w:tcPr>
          <w:p w14:paraId="50E1A5CB" w14:textId="77777777" w:rsidR="00504873" w:rsidRDefault="00504873" w:rsidP="00443C4B">
            <w:pPr>
              <w:spacing w:before="0" w:after="0" w:line="240" w:lineRule="auto"/>
              <w:jc w:val="left"/>
              <w:rPr>
                <w:spacing w:val="4"/>
                <w:lang w:eastAsia="tr-TR"/>
              </w:rPr>
            </w:pPr>
            <w:r>
              <w:rPr>
                <w:spacing w:val="4"/>
                <w:lang w:eastAsia="tr-TR"/>
              </w:rPr>
              <w:t>5</w:t>
            </w:r>
          </w:p>
        </w:tc>
        <w:tc>
          <w:tcPr>
            <w:tcW w:w="2495" w:type="dxa"/>
          </w:tcPr>
          <w:p w14:paraId="7BA230AA" w14:textId="77777777" w:rsidR="00504873" w:rsidRDefault="00504873" w:rsidP="00443C4B">
            <w:pPr>
              <w:spacing w:before="0" w:after="0" w:line="240" w:lineRule="auto"/>
              <w:jc w:val="left"/>
              <w:rPr>
                <w:spacing w:val="4"/>
                <w:lang w:eastAsia="tr-TR"/>
              </w:rPr>
            </w:pPr>
            <w:r>
              <w:rPr>
                <w:spacing w:val="4"/>
                <w:lang w:eastAsia="tr-TR"/>
              </w:rPr>
              <w:t>,927</w:t>
            </w:r>
          </w:p>
        </w:tc>
      </w:tr>
      <w:tr w:rsidR="00504873" w14:paraId="4E50508A" w14:textId="77777777" w:rsidTr="00A24B31">
        <w:tc>
          <w:tcPr>
            <w:tcW w:w="3369" w:type="dxa"/>
          </w:tcPr>
          <w:p w14:paraId="4AAD795C" w14:textId="1E8DC602" w:rsidR="00504873" w:rsidRDefault="00504873" w:rsidP="00443C4B">
            <w:pPr>
              <w:spacing w:before="0" w:after="0" w:line="240" w:lineRule="auto"/>
              <w:jc w:val="left"/>
              <w:rPr>
                <w:spacing w:val="4"/>
                <w:lang w:eastAsia="tr-TR"/>
              </w:rPr>
            </w:pPr>
            <w:r>
              <w:rPr>
                <w:spacing w:val="4"/>
                <w:lang w:eastAsia="tr-TR"/>
              </w:rPr>
              <w:t>4</w:t>
            </w:r>
            <w:r w:rsidRPr="00A852F5">
              <w:rPr>
                <w:spacing w:val="4"/>
                <w:lang w:eastAsia="tr-TR"/>
              </w:rPr>
              <w:t>. Boyut</w:t>
            </w:r>
          </w:p>
        </w:tc>
        <w:tc>
          <w:tcPr>
            <w:tcW w:w="2495" w:type="dxa"/>
          </w:tcPr>
          <w:p w14:paraId="7C159C61" w14:textId="77777777" w:rsidR="00504873" w:rsidRDefault="00504873" w:rsidP="00443C4B">
            <w:pPr>
              <w:spacing w:before="0" w:after="0" w:line="240" w:lineRule="auto"/>
              <w:jc w:val="left"/>
              <w:rPr>
                <w:spacing w:val="4"/>
                <w:lang w:eastAsia="tr-TR"/>
              </w:rPr>
            </w:pPr>
            <w:r>
              <w:rPr>
                <w:spacing w:val="4"/>
                <w:lang w:eastAsia="tr-TR"/>
              </w:rPr>
              <w:t>5</w:t>
            </w:r>
          </w:p>
        </w:tc>
        <w:tc>
          <w:tcPr>
            <w:tcW w:w="2495" w:type="dxa"/>
          </w:tcPr>
          <w:p w14:paraId="641D2CE6" w14:textId="77777777" w:rsidR="00504873" w:rsidRDefault="00504873" w:rsidP="00443C4B">
            <w:pPr>
              <w:spacing w:before="0" w:after="0" w:line="240" w:lineRule="auto"/>
              <w:jc w:val="left"/>
              <w:rPr>
                <w:spacing w:val="4"/>
                <w:lang w:eastAsia="tr-TR"/>
              </w:rPr>
            </w:pPr>
            <w:r>
              <w:rPr>
                <w:spacing w:val="4"/>
                <w:lang w:eastAsia="tr-TR"/>
              </w:rPr>
              <w:t>,911</w:t>
            </w:r>
          </w:p>
        </w:tc>
      </w:tr>
      <w:tr w:rsidR="00504873" w14:paraId="4C8D5699" w14:textId="77777777" w:rsidTr="00A24B31">
        <w:tc>
          <w:tcPr>
            <w:tcW w:w="3369" w:type="dxa"/>
          </w:tcPr>
          <w:p w14:paraId="7A2EA7EE" w14:textId="4259EF63" w:rsidR="00504873" w:rsidRDefault="00504873" w:rsidP="00443C4B">
            <w:pPr>
              <w:spacing w:before="0" w:after="0" w:line="240" w:lineRule="auto"/>
              <w:jc w:val="left"/>
              <w:rPr>
                <w:spacing w:val="4"/>
                <w:lang w:eastAsia="tr-TR"/>
              </w:rPr>
            </w:pPr>
            <w:r>
              <w:rPr>
                <w:spacing w:val="4"/>
                <w:lang w:eastAsia="tr-TR"/>
              </w:rPr>
              <w:t>5</w:t>
            </w:r>
            <w:r w:rsidRPr="00A852F5">
              <w:rPr>
                <w:spacing w:val="4"/>
                <w:lang w:eastAsia="tr-TR"/>
              </w:rPr>
              <w:t>. Boyut</w:t>
            </w:r>
          </w:p>
        </w:tc>
        <w:tc>
          <w:tcPr>
            <w:tcW w:w="2495" w:type="dxa"/>
          </w:tcPr>
          <w:p w14:paraId="6AED4195" w14:textId="77777777" w:rsidR="00504873" w:rsidRDefault="00504873" w:rsidP="00443C4B">
            <w:pPr>
              <w:spacing w:before="0" w:after="0" w:line="240" w:lineRule="auto"/>
              <w:jc w:val="left"/>
              <w:rPr>
                <w:spacing w:val="4"/>
                <w:lang w:eastAsia="tr-TR"/>
              </w:rPr>
            </w:pPr>
            <w:r>
              <w:rPr>
                <w:spacing w:val="4"/>
                <w:lang w:eastAsia="tr-TR"/>
              </w:rPr>
              <w:t>5</w:t>
            </w:r>
          </w:p>
        </w:tc>
        <w:tc>
          <w:tcPr>
            <w:tcW w:w="2495" w:type="dxa"/>
          </w:tcPr>
          <w:p w14:paraId="2AF9CF2A" w14:textId="77777777" w:rsidR="00504873" w:rsidRDefault="00504873" w:rsidP="00443C4B">
            <w:pPr>
              <w:spacing w:before="0" w:after="0" w:line="240" w:lineRule="auto"/>
              <w:jc w:val="left"/>
              <w:rPr>
                <w:spacing w:val="4"/>
                <w:lang w:eastAsia="tr-TR"/>
              </w:rPr>
            </w:pPr>
            <w:r>
              <w:rPr>
                <w:spacing w:val="4"/>
                <w:lang w:eastAsia="tr-TR"/>
              </w:rPr>
              <w:t>,902</w:t>
            </w:r>
          </w:p>
        </w:tc>
      </w:tr>
      <w:tr w:rsidR="00504873" w14:paraId="613A76BA" w14:textId="77777777" w:rsidTr="00A24B31">
        <w:tc>
          <w:tcPr>
            <w:tcW w:w="3369" w:type="dxa"/>
          </w:tcPr>
          <w:p w14:paraId="65400B57" w14:textId="5DF0B9C4" w:rsidR="00504873" w:rsidRDefault="00504873" w:rsidP="00443C4B">
            <w:pPr>
              <w:spacing w:before="0" w:after="0" w:line="240" w:lineRule="auto"/>
              <w:jc w:val="left"/>
              <w:rPr>
                <w:spacing w:val="4"/>
                <w:lang w:eastAsia="tr-TR"/>
              </w:rPr>
            </w:pPr>
            <w:r>
              <w:rPr>
                <w:spacing w:val="4"/>
                <w:lang w:eastAsia="tr-TR"/>
              </w:rPr>
              <w:t>6</w:t>
            </w:r>
            <w:r w:rsidRPr="00A852F5">
              <w:rPr>
                <w:spacing w:val="4"/>
                <w:lang w:eastAsia="tr-TR"/>
              </w:rPr>
              <w:t>. Boyut</w:t>
            </w:r>
          </w:p>
        </w:tc>
        <w:tc>
          <w:tcPr>
            <w:tcW w:w="2495" w:type="dxa"/>
          </w:tcPr>
          <w:p w14:paraId="64FFE7B0" w14:textId="77777777" w:rsidR="00504873" w:rsidRDefault="00504873" w:rsidP="00443C4B">
            <w:pPr>
              <w:spacing w:before="0" w:after="0" w:line="240" w:lineRule="auto"/>
              <w:jc w:val="left"/>
              <w:rPr>
                <w:spacing w:val="4"/>
                <w:lang w:eastAsia="tr-TR"/>
              </w:rPr>
            </w:pPr>
            <w:r>
              <w:rPr>
                <w:spacing w:val="4"/>
                <w:lang w:eastAsia="tr-TR"/>
              </w:rPr>
              <w:t>5</w:t>
            </w:r>
          </w:p>
        </w:tc>
        <w:tc>
          <w:tcPr>
            <w:tcW w:w="2495" w:type="dxa"/>
          </w:tcPr>
          <w:p w14:paraId="48683808" w14:textId="77777777" w:rsidR="00504873" w:rsidRDefault="00504873" w:rsidP="00443C4B">
            <w:pPr>
              <w:spacing w:before="0" w:after="0" w:line="240" w:lineRule="auto"/>
              <w:jc w:val="left"/>
              <w:rPr>
                <w:spacing w:val="4"/>
                <w:lang w:eastAsia="tr-TR"/>
              </w:rPr>
            </w:pPr>
            <w:r>
              <w:rPr>
                <w:spacing w:val="4"/>
                <w:lang w:eastAsia="tr-TR"/>
              </w:rPr>
              <w:t>,912</w:t>
            </w:r>
          </w:p>
        </w:tc>
      </w:tr>
    </w:tbl>
    <w:p w14:paraId="1092EF9A" w14:textId="77777777" w:rsidR="00674353" w:rsidRPr="00443C4B" w:rsidRDefault="00674353" w:rsidP="00674353">
      <w:pPr>
        <w:rPr>
          <w:spacing w:val="4"/>
          <w:sz w:val="22"/>
          <w:lang w:eastAsia="tr-TR"/>
        </w:rPr>
      </w:pPr>
      <w:r w:rsidRPr="00443C4B">
        <w:rPr>
          <w:spacing w:val="4"/>
          <w:sz w:val="22"/>
          <w:lang w:eastAsia="tr-TR"/>
        </w:rPr>
        <w:t>Güvenilirlik, bir ölçme aracının tutarlı ve istikrarlı sonuçlar verme derecesini ifade etmektedir. Güvenilirlik analizi, bir ölçeğin iç tutarlılığını değerlendirmek için yaygın olarak kullanılan bir yöntemdir. İç tutarlılık, bir ölçekteki maddelerin birbiriyle ne derece ilişkili olduğunu göstermektedir. Cronbach alfa katsayısı, iç tutarlılığı ölçmek için en yaygın kullanılan güvenilirlik katsayısıdır (Nunnally &amp; Bernstein, 1994). Cronbach alfa katsayısı, 0 ile 1 arasında değişen bir değer almakta ve bu katsayının 1'e yaklaşması, ölçeğin iç tutarlılığının yüksek olduğunu göstermektedir. Genel olarak, Cronbach alfa katsayısının 0,70 veya üzerinde olması, ölçeğin güvenilirliğinin kabul edilebilir düzeyde olduğunu ifade etmektedir. Ancak, bazı araştırmacılar 0,80 veya üzerindeki değerlerin daha uygun olduğunu savunmaktadır (Kline, 2000).</w:t>
      </w:r>
    </w:p>
    <w:p w14:paraId="21955266" w14:textId="77777777" w:rsidR="00443C4B" w:rsidRPr="00443C4B" w:rsidRDefault="00674353" w:rsidP="00443C4B">
      <w:pPr>
        <w:rPr>
          <w:spacing w:val="4"/>
          <w:sz w:val="22"/>
          <w:lang w:eastAsia="tr-TR"/>
        </w:rPr>
      </w:pPr>
      <w:r w:rsidRPr="00443C4B">
        <w:rPr>
          <w:spacing w:val="4"/>
          <w:sz w:val="22"/>
          <w:lang w:eastAsia="tr-TR"/>
        </w:rPr>
        <w:t xml:space="preserve">Tablo 4’te yer alan güvenilirlik analizi sonuçları incelendiğinde, tüm ölçeklerin Cronbach alfa katsayılarının 0,90'ın üzerinde olduğu görülmektedir. Bilinçli Farkındalık Ölçeği'nin Cronbach alfa katsayısı 0,952; Rasyonel Karar Verme Ölçeği'nin 0,939; Sezgisel Karar Verme Ölçeği'nin 0,927; Bağımlı Karar Verme Ölçeği'nin 0,911; Kaçınmacı Karar Verme Ölçeği'nin 0,902 ve Anlık Karar </w:t>
      </w:r>
      <w:r w:rsidRPr="00443C4B">
        <w:rPr>
          <w:spacing w:val="4"/>
          <w:sz w:val="22"/>
          <w:lang w:eastAsia="tr-TR"/>
        </w:rPr>
        <w:lastRenderedPageBreak/>
        <w:t>Verme Ölçeği'nin 0,912 olarak bulunmuştur. Bu sonuçlar, tüm ölçeklerin yüksek düzeyde iç tutarlılığa sahip olduğunu göstermektedir.</w:t>
      </w:r>
      <w:bookmarkStart w:id="5" w:name="_Toc177524262"/>
    </w:p>
    <w:p w14:paraId="15B35031" w14:textId="5C96D5CF" w:rsidR="00674353" w:rsidRPr="00443C4B" w:rsidRDefault="00674353" w:rsidP="00443C4B">
      <w:pPr>
        <w:rPr>
          <w:b/>
          <w:bCs/>
          <w:spacing w:val="4"/>
          <w:sz w:val="22"/>
          <w:lang w:eastAsia="tr-TR"/>
        </w:rPr>
      </w:pPr>
      <w:r w:rsidRPr="00443C4B">
        <w:rPr>
          <w:b/>
          <w:bCs/>
          <w:spacing w:val="4"/>
          <w:sz w:val="22"/>
          <w:lang w:eastAsia="tr-TR"/>
        </w:rPr>
        <w:t>Normal Dağılım Analizi</w:t>
      </w:r>
      <w:bookmarkEnd w:id="5"/>
    </w:p>
    <w:p w14:paraId="1B183774" w14:textId="26AE4FAA" w:rsidR="00674353" w:rsidRPr="00443C4B" w:rsidRDefault="00674353" w:rsidP="00674353">
      <w:pPr>
        <w:rPr>
          <w:spacing w:val="4"/>
          <w:sz w:val="22"/>
          <w:lang w:eastAsia="tr-TR"/>
        </w:rPr>
      </w:pPr>
      <w:r w:rsidRPr="00443C4B">
        <w:rPr>
          <w:spacing w:val="4"/>
          <w:sz w:val="22"/>
          <w:lang w:eastAsia="tr-TR"/>
        </w:rPr>
        <w:t xml:space="preserve">Araştırmada elde edilen verilerin normal dağılıma uyup uymadıklarını belirlemek üzere değişkenlerin çarpıklık ve basıklık katsayıları incelenmiştir. Analiz sonuçları Tablo </w:t>
      </w:r>
      <w:r w:rsidR="00443C4B" w:rsidRPr="00443C4B">
        <w:rPr>
          <w:spacing w:val="4"/>
          <w:sz w:val="22"/>
          <w:lang w:eastAsia="tr-TR"/>
        </w:rPr>
        <w:t>3</w:t>
      </w:r>
      <w:r w:rsidRPr="00443C4B">
        <w:rPr>
          <w:spacing w:val="4"/>
          <w:sz w:val="22"/>
          <w:lang w:eastAsia="tr-TR"/>
        </w:rPr>
        <w:t>’te sunulmuştur.</w:t>
      </w:r>
    </w:p>
    <w:p w14:paraId="0B1413D8" w14:textId="70E6629A" w:rsidR="00674353" w:rsidRPr="009E23E1" w:rsidRDefault="00674353" w:rsidP="00674353">
      <w:pPr>
        <w:pStyle w:val="ResimYazs"/>
        <w:keepNext/>
        <w:keepLines/>
        <w:spacing w:before="120" w:after="120"/>
        <w:jc w:val="center"/>
        <w:rPr>
          <w:color w:val="000000" w:themeColor="text1"/>
          <w:spacing w:val="4"/>
          <w:sz w:val="24"/>
          <w:szCs w:val="24"/>
          <w:lang w:eastAsia="tr-TR"/>
        </w:rPr>
      </w:pPr>
      <w:bookmarkStart w:id="6" w:name="_Toc177524346"/>
      <w:r w:rsidRPr="009E23E1">
        <w:rPr>
          <w:color w:val="000000" w:themeColor="text1"/>
          <w:sz w:val="24"/>
          <w:szCs w:val="24"/>
        </w:rPr>
        <w:t xml:space="preserve">Tablo </w:t>
      </w:r>
      <w:r w:rsidR="00443C4B">
        <w:rPr>
          <w:color w:val="000000" w:themeColor="text1"/>
          <w:sz w:val="24"/>
          <w:szCs w:val="24"/>
        </w:rPr>
        <w:t>3</w:t>
      </w:r>
      <w:r w:rsidRPr="009E23E1">
        <w:rPr>
          <w:color w:val="000000" w:themeColor="text1"/>
          <w:sz w:val="24"/>
          <w:szCs w:val="24"/>
        </w:rPr>
        <w:t xml:space="preserve">. </w:t>
      </w:r>
      <w:r>
        <w:rPr>
          <w:color w:val="000000" w:themeColor="text1"/>
          <w:sz w:val="24"/>
          <w:szCs w:val="24"/>
        </w:rPr>
        <w:t>Normal Dağılım Analizi</w:t>
      </w:r>
      <w:r w:rsidRPr="00AB53B7">
        <w:rPr>
          <w:color w:val="000000" w:themeColor="text1"/>
          <w:sz w:val="24"/>
          <w:szCs w:val="24"/>
        </w:rPr>
        <w:t xml:space="preserve"> Sonuçları</w:t>
      </w:r>
      <w:bookmarkEnd w:id="6"/>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95"/>
        <w:gridCol w:w="2495"/>
      </w:tblGrid>
      <w:tr w:rsidR="00674353" w:rsidRPr="00443C4B" w14:paraId="0E299E8F" w14:textId="77777777" w:rsidTr="00A24B31">
        <w:tc>
          <w:tcPr>
            <w:tcW w:w="3369" w:type="dxa"/>
            <w:tcBorders>
              <w:bottom w:val="single" w:sz="4" w:space="0" w:color="auto"/>
            </w:tcBorders>
          </w:tcPr>
          <w:p w14:paraId="1C49E983" w14:textId="77777777" w:rsidR="00674353" w:rsidRPr="00443C4B" w:rsidRDefault="00674353" w:rsidP="00443C4B">
            <w:pPr>
              <w:spacing w:before="0" w:after="0" w:line="240" w:lineRule="auto"/>
              <w:jc w:val="left"/>
              <w:rPr>
                <w:b/>
                <w:spacing w:val="4"/>
                <w:sz w:val="21"/>
                <w:szCs w:val="21"/>
                <w:lang w:eastAsia="tr-TR"/>
              </w:rPr>
            </w:pPr>
            <w:r w:rsidRPr="00443C4B">
              <w:rPr>
                <w:b/>
                <w:spacing w:val="4"/>
                <w:sz w:val="21"/>
                <w:szCs w:val="21"/>
                <w:lang w:eastAsia="tr-TR"/>
              </w:rPr>
              <w:t>Değişken</w:t>
            </w:r>
          </w:p>
        </w:tc>
        <w:tc>
          <w:tcPr>
            <w:tcW w:w="2495" w:type="dxa"/>
            <w:tcBorders>
              <w:bottom w:val="single" w:sz="4" w:space="0" w:color="auto"/>
            </w:tcBorders>
          </w:tcPr>
          <w:p w14:paraId="5A90083A" w14:textId="77777777" w:rsidR="00674353" w:rsidRPr="00443C4B" w:rsidRDefault="00674353" w:rsidP="00443C4B">
            <w:pPr>
              <w:spacing w:before="0" w:after="0" w:line="240" w:lineRule="auto"/>
              <w:jc w:val="left"/>
              <w:rPr>
                <w:b/>
                <w:spacing w:val="4"/>
                <w:sz w:val="21"/>
                <w:szCs w:val="21"/>
                <w:lang w:eastAsia="tr-TR"/>
              </w:rPr>
            </w:pPr>
            <w:r w:rsidRPr="00443C4B">
              <w:rPr>
                <w:b/>
                <w:spacing w:val="4"/>
                <w:sz w:val="21"/>
                <w:szCs w:val="21"/>
                <w:lang w:eastAsia="tr-TR"/>
              </w:rPr>
              <w:t>Çarpıklık</w:t>
            </w:r>
          </w:p>
        </w:tc>
        <w:tc>
          <w:tcPr>
            <w:tcW w:w="2495" w:type="dxa"/>
            <w:tcBorders>
              <w:bottom w:val="single" w:sz="4" w:space="0" w:color="auto"/>
            </w:tcBorders>
          </w:tcPr>
          <w:p w14:paraId="62987767" w14:textId="77777777" w:rsidR="00674353" w:rsidRPr="00443C4B" w:rsidRDefault="00674353" w:rsidP="00443C4B">
            <w:pPr>
              <w:spacing w:before="0" w:after="0" w:line="240" w:lineRule="auto"/>
              <w:jc w:val="left"/>
              <w:rPr>
                <w:b/>
                <w:spacing w:val="4"/>
                <w:sz w:val="21"/>
                <w:szCs w:val="21"/>
                <w:lang w:eastAsia="tr-TR"/>
              </w:rPr>
            </w:pPr>
            <w:r w:rsidRPr="00443C4B">
              <w:rPr>
                <w:b/>
                <w:spacing w:val="4"/>
                <w:sz w:val="21"/>
                <w:szCs w:val="21"/>
                <w:lang w:eastAsia="tr-TR"/>
              </w:rPr>
              <w:t>Basıklık</w:t>
            </w:r>
          </w:p>
        </w:tc>
      </w:tr>
      <w:tr w:rsidR="005944B7" w:rsidRPr="00443C4B" w14:paraId="54372119" w14:textId="77777777" w:rsidTr="00A24B31">
        <w:tc>
          <w:tcPr>
            <w:tcW w:w="3369" w:type="dxa"/>
            <w:tcBorders>
              <w:top w:val="single" w:sz="4" w:space="0" w:color="auto"/>
              <w:bottom w:val="nil"/>
            </w:tcBorders>
          </w:tcPr>
          <w:p w14:paraId="6DB49C41" w14:textId="7F312A94"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1. Boyut</w:t>
            </w:r>
          </w:p>
        </w:tc>
        <w:tc>
          <w:tcPr>
            <w:tcW w:w="2495" w:type="dxa"/>
            <w:tcBorders>
              <w:top w:val="single" w:sz="4" w:space="0" w:color="auto"/>
              <w:bottom w:val="nil"/>
            </w:tcBorders>
          </w:tcPr>
          <w:p w14:paraId="44DB4E51"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-,344</w:t>
            </w:r>
          </w:p>
        </w:tc>
        <w:tc>
          <w:tcPr>
            <w:tcW w:w="2495" w:type="dxa"/>
            <w:tcBorders>
              <w:top w:val="single" w:sz="4" w:space="0" w:color="auto"/>
              <w:bottom w:val="nil"/>
            </w:tcBorders>
          </w:tcPr>
          <w:p w14:paraId="2C585810"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-,285</w:t>
            </w:r>
          </w:p>
        </w:tc>
      </w:tr>
      <w:tr w:rsidR="005944B7" w:rsidRPr="00443C4B" w14:paraId="3E0FB4F8" w14:textId="77777777" w:rsidTr="00A24B31">
        <w:tc>
          <w:tcPr>
            <w:tcW w:w="3369" w:type="dxa"/>
            <w:tcBorders>
              <w:top w:val="nil"/>
            </w:tcBorders>
          </w:tcPr>
          <w:p w14:paraId="61FD9A44" w14:textId="3137785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2. Boyut</w:t>
            </w:r>
          </w:p>
        </w:tc>
        <w:tc>
          <w:tcPr>
            <w:tcW w:w="2495" w:type="dxa"/>
            <w:tcBorders>
              <w:top w:val="nil"/>
            </w:tcBorders>
          </w:tcPr>
          <w:p w14:paraId="591408E7"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-,652</w:t>
            </w:r>
          </w:p>
        </w:tc>
        <w:tc>
          <w:tcPr>
            <w:tcW w:w="2495" w:type="dxa"/>
            <w:tcBorders>
              <w:top w:val="nil"/>
            </w:tcBorders>
          </w:tcPr>
          <w:p w14:paraId="70A67CD4"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-,785</w:t>
            </w:r>
          </w:p>
        </w:tc>
      </w:tr>
      <w:tr w:rsidR="005944B7" w:rsidRPr="00443C4B" w14:paraId="688E7B4E" w14:textId="77777777" w:rsidTr="00A24B31">
        <w:tc>
          <w:tcPr>
            <w:tcW w:w="3369" w:type="dxa"/>
          </w:tcPr>
          <w:p w14:paraId="7B9E73C5" w14:textId="685D189D"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3. Boyut</w:t>
            </w:r>
          </w:p>
        </w:tc>
        <w:tc>
          <w:tcPr>
            <w:tcW w:w="2495" w:type="dxa"/>
          </w:tcPr>
          <w:p w14:paraId="08CC3911"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-,482</w:t>
            </w:r>
          </w:p>
        </w:tc>
        <w:tc>
          <w:tcPr>
            <w:tcW w:w="2495" w:type="dxa"/>
          </w:tcPr>
          <w:p w14:paraId="1DB5F541"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-,739</w:t>
            </w:r>
          </w:p>
        </w:tc>
      </w:tr>
      <w:tr w:rsidR="005944B7" w:rsidRPr="00443C4B" w14:paraId="722E2EDC" w14:textId="77777777" w:rsidTr="00A24B31">
        <w:tc>
          <w:tcPr>
            <w:tcW w:w="3369" w:type="dxa"/>
          </w:tcPr>
          <w:p w14:paraId="3D1D3E1F" w14:textId="754F0EAF"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4. Boyut</w:t>
            </w:r>
          </w:p>
        </w:tc>
        <w:tc>
          <w:tcPr>
            <w:tcW w:w="2495" w:type="dxa"/>
          </w:tcPr>
          <w:p w14:paraId="25E4FC7C"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-,493</w:t>
            </w:r>
          </w:p>
        </w:tc>
        <w:tc>
          <w:tcPr>
            <w:tcW w:w="2495" w:type="dxa"/>
          </w:tcPr>
          <w:p w14:paraId="5CB6F6FD"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-,609</w:t>
            </w:r>
          </w:p>
        </w:tc>
      </w:tr>
      <w:tr w:rsidR="005944B7" w:rsidRPr="00443C4B" w14:paraId="75CE9FC8" w14:textId="77777777" w:rsidTr="00A24B31">
        <w:tc>
          <w:tcPr>
            <w:tcW w:w="3369" w:type="dxa"/>
          </w:tcPr>
          <w:p w14:paraId="70C89DCA" w14:textId="361A2D86"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5. Boyut</w:t>
            </w:r>
          </w:p>
        </w:tc>
        <w:tc>
          <w:tcPr>
            <w:tcW w:w="2495" w:type="dxa"/>
          </w:tcPr>
          <w:p w14:paraId="5B5A2F90"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,052</w:t>
            </w:r>
          </w:p>
        </w:tc>
        <w:tc>
          <w:tcPr>
            <w:tcW w:w="2495" w:type="dxa"/>
          </w:tcPr>
          <w:p w14:paraId="2DDF97C8"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-,825</w:t>
            </w:r>
          </w:p>
        </w:tc>
      </w:tr>
      <w:tr w:rsidR="005944B7" w:rsidRPr="00443C4B" w14:paraId="7E8A81BE" w14:textId="77777777" w:rsidTr="00A24B31">
        <w:tc>
          <w:tcPr>
            <w:tcW w:w="3369" w:type="dxa"/>
          </w:tcPr>
          <w:p w14:paraId="12D4AA7A" w14:textId="3B0C0129"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6. Boyut</w:t>
            </w:r>
          </w:p>
        </w:tc>
        <w:tc>
          <w:tcPr>
            <w:tcW w:w="2495" w:type="dxa"/>
          </w:tcPr>
          <w:p w14:paraId="039CD6AD"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,536</w:t>
            </w:r>
          </w:p>
        </w:tc>
        <w:tc>
          <w:tcPr>
            <w:tcW w:w="2495" w:type="dxa"/>
          </w:tcPr>
          <w:p w14:paraId="32E461D9" w14:textId="77777777" w:rsidR="005944B7" w:rsidRPr="00443C4B" w:rsidRDefault="005944B7" w:rsidP="00443C4B">
            <w:pPr>
              <w:spacing w:before="0" w:after="0" w:line="240" w:lineRule="auto"/>
              <w:jc w:val="left"/>
              <w:rPr>
                <w:spacing w:val="4"/>
                <w:sz w:val="21"/>
                <w:szCs w:val="21"/>
                <w:lang w:eastAsia="tr-TR"/>
              </w:rPr>
            </w:pPr>
            <w:r w:rsidRPr="00443C4B">
              <w:rPr>
                <w:spacing w:val="4"/>
                <w:sz w:val="21"/>
                <w:szCs w:val="21"/>
                <w:lang w:eastAsia="tr-TR"/>
              </w:rPr>
              <w:t>-,072</w:t>
            </w:r>
          </w:p>
        </w:tc>
      </w:tr>
    </w:tbl>
    <w:p w14:paraId="7BBFA4BF" w14:textId="77777777" w:rsidR="00674353" w:rsidRPr="00443C4B" w:rsidRDefault="00674353" w:rsidP="00674353">
      <w:pPr>
        <w:rPr>
          <w:spacing w:val="4"/>
          <w:sz w:val="22"/>
          <w:lang w:eastAsia="tr-TR"/>
        </w:rPr>
      </w:pPr>
      <w:r w:rsidRPr="00443C4B">
        <w:rPr>
          <w:spacing w:val="4"/>
          <w:sz w:val="22"/>
          <w:lang w:eastAsia="tr-TR"/>
        </w:rPr>
        <w:t>Çarpıklık ve basıklık katsayıları, bir dağılımın normal dağılımdan ne derece saptığını gösteren istatistiksel ölçülerdir. Çarpıklık katsayısı, dağılımın simetrisini ölçmekte ve sıfıra yakın çarpıklık değerleri, dağılımın simetrik olduğunu göstermektedir. Pozitif çarpıklık, dağılımın sağa çarpık olduğunu, yani sağ kuyruğun daha uzun olduğunu ifade ederken, negatif çarpıklık ise dağılımın sola çarpık olduğunu, yani sol kuyruğun daha uzun olduğunu göstermektedir. Diğer taraftan, basıklık katsayısı, dağılımın normal dağılıma göre daha dik veya daha düz olup olmadığını ölçmekte ve sıfıra yakın basıklık değerleri, dağılımın normal dağılıma yakın olduğunu göstermektedir. Pozitif basıklık, dağılımın normal dağılımdan daha dik olduğunu ifade ederken, negatif basıklık ise dağılımın normal dağılımdan daha düz olduğunu belirtmektedir. Genel olarak, çarpıklık ve basıklık değerlerinin -1 ile +1 arasında olması halinde verilerin normal dağılıma uyduğunun kabul edilebileceği belirtilmektedir (Hair vd., 2019).</w:t>
      </w:r>
    </w:p>
    <w:p w14:paraId="02203FCE" w14:textId="288E0D63" w:rsidR="00674353" w:rsidRPr="00443C4B" w:rsidRDefault="00674353" w:rsidP="00674353">
      <w:pPr>
        <w:rPr>
          <w:spacing w:val="4"/>
          <w:sz w:val="22"/>
          <w:lang w:eastAsia="tr-TR"/>
        </w:rPr>
      </w:pPr>
      <w:r w:rsidRPr="00443C4B">
        <w:rPr>
          <w:spacing w:val="4"/>
          <w:sz w:val="22"/>
          <w:lang w:eastAsia="tr-TR"/>
        </w:rPr>
        <w:t xml:space="preserve">Tablo </w:t>
      </w:r>
      <w:r w:rsidR="00443C4B" w:rsidRPr="00443C4B">
        <w:rPr>
          <w:spacing w:val="4"/>
          <w:sz w:val="22"/>
          <w:lang w:eastAsia="tr-TR"/>
        </w:rPr>
        <w:t>3</w:t>
      </w:r>
      <w:r w:rsidRPr="00443C4B">
        <w:rPr>
          <w:spacing w:val="4"/>
          <w:sz w:val="22"/>
          <w:lang w:eastAsia="tr-TR"/>
        </w:rPr>
        <w:t>’te görülen analiz sonuçlarına göre, Bilinçli Farkındalık Ölçeği'nin çarpıklık katsayısı -0,344 ve basıklık katsayısı -0,285; Rasyonel Karar Verme Ölçeği'nin çarpıklık katsayısı -0,652 ve basıklık katsayısı -0,785; Sezgisel Karar Verme Ölçeği'nin çarpıklık katsayısı -0,482 ve basıklık katsayısı -0,739; Bağımlı Karar Verme Ölçeği'nin çarpıklık katsayısı -0,493 ve basıklık katsayısı -0,609; Kaçınmacı Karar Verme Ölçeği'nin çarpıklık katsayısı 0,052 ve basıklık katsayısı -0,825; Anlık Karar Verme Ölçeği'nin çarpıklık katsayısı 0,536 ve basıklık katsayısı -0,072 olarak bulunmuştur.</w:t>
      </w:r>
    </w:p>
    <w:p w14:paraId="2A3C8473" w14:textId="77777777" w:rsidR="00674353" w:rsidRPr="00443C4B" w:rsidRDefault="00674353" w:rsidP="00674353">
      <w:pPr>
        <w:rPr>
          <w:spacing w:val="4"/>
          <w:sz w:val="22"/>
          <w:lang w:eastAsia="tr-TR"/>
        </w:rPr>
      </w:pPr>
      <w:r w:rsidRPr="00443C4B">
        <w:rPr>
          <w:spacing w:val="4"/>
          <w:sz w:val="22"/>
          <w:lang w:eastAsia="tr-TR"/>
        </w:rPr>
        <w:t>Tüm değişkenlerin çarpıklık ve basıklık katsayılarının -1 ile +1 aralığında olduğu görülmektedir. Bu sonuçlar, verilerin normal dağılımdan aşırı sapma göstermediğini ve normal dağılıma yakın olduğunu ortaya koymaktadır. Dolayısıyla, araştırmanın devamında parametrik analizlerin kullanılması uygun görülmüştür.</w:t>
      </w:r>
    </w:p>
    <w:p w14:paraId="04B1E2CB" w14:textId="77777777" w:rsidR="00674353" w:rsidRDefault="00674353"/>
    <w:sectPr w:rsidR="0067435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3EC5" w14:textId="77777777" w:rsidR="00A94F98" w:rsidRDefault="00A94F98" w:rsidP="00443C4B">
      <w:pPr>
        <w:spacing w:before="0" w:after="0" w:line="240" w:lineRule="auto"/>
      </w:pPr>
      <w:r>
        <w:separator/>
      </w:r>
    </w:p>
  </w:endnote>
  <w:endnote w:type="continuationSeparator" w:id="0">
    <w:p w14:paraId="4C0385E3" w14:textId="77777777" w:rsidR="00A94F98" w:rsidRDefault="00A94F98" w:rsidP="00443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B479" w14:textId="77777777" w:rsidR="00443C4B" w:rsidRDefault="00443C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D63A" w14:textId="77777777" w:rsidR="00443C4B" w:rsidRDefault="00443C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8E4" w14:textId="77777777" w:rsidR="00443C4B" w:rsidRDefault="00443C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0EC3" w14:textId="77777777" w:rsidR="00A94F98" w:rsidRDefault="00A94F98" w:rsidP="00443C4B">
      <w:pPr>
        <w:spacing w:before="0" w:after="0" w:line="240" w:lineRule="auto"/>
      </w:pPr>
      <w:r>
        <w:separator/>
      </w:r>
    </w:p>
  </w:footnote>
  <w:footnote w:type="continuationSeparator" w:id="0">
    <w:p w14:paraId="70BFF67A" w14:textId="77777777" w:rsidR="00A94F98" w:rsidRDefault="00A94F98" w:rsidP="00443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A809" w14:textId="03F7265C" w:rsidR="00443C4B" w:rsidRDefault="00A94F98">
    <w:pPr>
      <w:pStyle w:val="stBilgi"/>
    </w:pPr>
    <w:r>
      <w:rPr>
        <w:noProof/>
      </w:rPr>
      <w:pict w14:anchorId="45D12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35606" o:spid="_x0000_s1027" type="#_x0000_t136" alt="" style="position:absolute;left:0;text-align:left;margin-left:0;margin-top:0;width:453.2pt;height:1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2506" w14:textId="27B168C4" w:rsidR="00443C4B" w:rsidRDefault="00A94F98">
    <w:pPr>
      <w:pStyle w:val="stBilgi"/>
    </w:pPr>
    <w:r>
      <w:rPr>
        <w:noProof/>
      </w:rPr>
      <w:pict w14:anchorId="3589F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35607" o:spid="_x0000_s1026" type="#_x0000_t136" alt="" style="position:absolute;left:0;text-align:left;margin-left:0;margin-top:0;width:453.2pt;height:1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948B" w14:textId="58984814" w:rsidR="00443C4B" w:rsidRDefault="00A94F98">
    <w:pPr>
      <w:pStyle w:val="stBilgi"/>
    </w:pPr>
    <w:r>
      <w:rPr>
        <w:noProof/>
      </w:rPr>
      <w:pict w14:anchorId="35C0E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35605" o:spid="_x0000_s1025" type="#_x0000_t136" alt="" style="position:absolute;left:0;text-align:left;margin-left:0;margin-top:0;width:453.2pt;height:1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ÖRNEKTİ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462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53"/>
    <w:rsid w:val="00157C67"/>
    <w:rsid w:val="001E5010"/>
    <w:rsid w:val="0021290D"/>
    <w:rsid w:val="00443C4B"/>
    <w:rsid w:val="00504873"/>
    <w:rsid w:val="0056254B"/>
    <w:rsid w:val="005944B7"/>
    <w:rsid w:val="00674353"/>
    <w:rsid w:val="00A20822"/>
    <w:rsid w:val="00A62A10"/>
    <w:rsid w:val="00A67D78"/>
    <w:rsid w:val="00A94F98"/>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64AF"/>
  <w15:chartTrackingRefBased/>
  <w15:docId w15:val="{3F780E22-CAC2-694A-8C10-16C0AFE3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53"/>
    <w:pPr>
      <w:spacing w:before="120" w:after="120" w:line="360" w:lineRule="auto"/>
      <w:jc w:val="both"/>
    </w:pPr>
    <w:rPr>
      <w:rFonts w:ascii="Times New Roman" w:hAnsi="Times New Roman"/>
      <w:color w:val="000000" w:themeColor="text1"/>
      <w:kern w:val="0"/>
      <w:szCs w:val="22"/>
      <w14:ligatures w14:val="none"/>
    </w:rPr>
  </w:style>
  <w:style w:type="paragraph" w:styleId="Balk1">
    <w:name w:val="heading 1"/>
    <w:basedOn w:val="Normal"/>
    <w:next w:val="Normal"/>
    <w:link w:val="Balk1Char"/>
    <w:uiPriority w:val="9"/>
    <w:qFormat/>
    <w:rsid w:val="00674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74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6743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743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743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7435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435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435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435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43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743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6743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743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743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743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743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743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74353"/>
    <w:rPr>
      <w:rFonts w:eastAsiaTheme="majorEastAsia" w:cstheme="majorBidi"/>
      <w:color w:val="272727" w:themeColor="text1" w:themeTint="D8"/>
    </w:rPr>
  </w:style>
  <w:style w:type="paragraph" w:styleId="KonuBal">
    <w:name w:val="Title"/>
    <w:basedOn w:val="Normal"/>
    <w:next w:val="Normal"/>
    <w:link w:val="KonuBalChar"/>
    <w:uiPriority w:val="10"/>
    <w:qFormat/>
    <w:rsid w:val="0067435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43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7435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43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7435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74353"/>
    <w:rPr>
      <w:i/>
      <w:iCs/>
      <w:color w:val="404040" w:themeColor="text1" w:themeTint="BF"/>
    </w:rPr>
  </w:style>
  <w:style w:type="paragraph" w:styleId="ListeParagraf">
    <w:name w:val="List Paragraph"/>
    <w:basedOn w:val="Normal"/>
    <w:uiPriority w:val="34"/>
    <w:qFormat/>
    <w:rsid w:val="00674353"/>
    <w:pPr>
      <w:ind w:left="720"/>
      <w:contextualSpacing/>
    </w:pPr>
  </w:style>
  <w:style w:type="character" w:styleId="GlVurgulama">
    <w:name w:val="Intense Emphasis"/>
    <w:basedOn w:val="VarsaylanParagrafYazTipi"/>
    <w:uiPriority w:val="21"/>
    <w:qFormat/>
    <w:rsid w:val="00674353"/>
    <w:rPr>
      <w:i/>
      <w:iCs/>
      <w:color w:val="2F5496" w:themeColor="accent1" w:themeShade="BF"/>
    </w:rPr>
  </w:style>
  <w:style w:type="paragraph" w:styleId="GlAlnt">
    <w:name w:val="Intense Quote"/>
    <w:basedOn w:val="Normal"/>
    <w:next w:val="Normal"/>
    <w:link w:val="GlAlntChar"/>
    <w:uiPriority w:val="30"/>
    <w:qFormat/>
    <w:rsid w:val="00674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74353"/>
    <w:rPr>
      <w:i/>
      <w:iCs/>
      <w:color w:val="2F5496" w:themeColor="accent1" w:themeShade="BF"/>
    </w:rPr>
  </w:style>
  <w:style w:type="character" w:styleId="GlBavuru">
    <w:name w:val="Intense Reference"/>
    <w:basedOn w:val="VarsaylanParagrafYazTipi"/>
    <w:uiPriority w:val="32"/>
    <w:qFormat/>
    <w:rsid w:val="00674353"/>
    <w:rPr>
      <w:b/>
      <w:bCs/>
      <w:smallCaps/>
      <w:color w:val="2F5496" w:themeColor="accent1" w:themeShade="BF"/>
      <w:spacing w:val="5"/>
    </w:rPr>
  </w:style>
  <w:style w:type="paragraph" w:styleId="ResimYazs">
    <w:name w:val="caption"/>
    <w:basedOn w:val="Normal"/>
    <w:next w:val="Normal"/>
    <w:uiPriority w:val="35"/>
    <w:unhideWhenUsed/>
    <w:rsid w:val="00674353"/>
    <w:pPr>
      <w:spacing w:before="0" w:after="200" w:line="240" w:lineRule="auto"/>
    </w:pPr>
    <w:rPr>
      <w:b/>
      <w:bCs/>
      <w:color w:val="4472C4" w:themeColor="accent1"/>
      <w:sz w:val="18"/>
      <w:szCs w:val="18"/>
    </w:rPr>
  </w:style>
  <w:style w:type="table" w:styleId="TabloKlavuzu">
    <w:name w:val="Table Grid"/>
    <w:basedOn w:val="NormalTablo"/>
    <w:uiPriority w:val="59"/>
    <w:rsid w:val="0067435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alk">
    <w:name w:val="1. Başlık"/>
    <w:basedOn w:val="Balk1"/>
    <w:next w:val="Normal"/>
    <w:qFormat/>
    <w:rsid w:val="00674353"/>
    <w:pPr>
      <w:numPr>
        <w:numId w:val="1"/>
      </w:numPr>
      <w:spacing w:before="1440" w:after="360"/>
      <w:ind w:left="357" w:hanging="357"/>
    </w:pPr>
    <w:rPr>
      <w:rFonts w:ascii="Times New Roman" w:hAnsi="Times New Roman"/>
      <w:b/>
      <w:bCs/>
      <w:color w:val="000000" w:themeColor="text1"/>
      <w:sz w:val="24"/>
      <w:szCs w:val="28"/>
    </w:rPr>
  </w:style>
  <w:style w:type="paragraph" w:customStyle="1" w:styleId="2Balk">
    <w:name w:val="2. Başlık"/>
    <w:basedOn w:val="Balk2"/>
    <w:next w:val="Normal"/>
    <w:qFormat/>
    <w:rsid w:val="00674353"/>
    <w:pPr>
      <w:numPr>
        <w:ilvl w:val="1"/>
        <w:numId w:val="1"/>
      </w:numPr>
      <w:spacing w:before="360" w:after="240"/>
      <w:ind w:left="0" w:firstLine="0"/>
      <w:contextualSpacing/>
    </w:pPr>
    <w:rPr>
      <w:rFonts w:ascii="Times New Roman" w:hAnsi="Times New Roman"/>
      <w:b/>
      <w:bCs/>
      <w:color w:val="000000" w:themeColor="text1"/>
      <w:sz w:val="24"/>
      <w:szCs w:val="26"/>
    </w:rPr>
  </w:style>
  <w:style w:type="paragraph" w:customStyle="1" w:styleId="3Balk">
    <w:name w:val="3. Başlık"/>
    <w:basedOn w:val="Balk3"/>
    <w:next w:val="Normal"/>
    <w:qFormat/>
    <w:rsid w:val="00674353"/>
    <w:pPr>
      <w:numPr>
        <w:ilvl w:val="2"/>
        <w:numId w:val="1"/>
      </w:numPr>
      <w:spacing w:before="240" w:after="120"/>
      <w:ind w:left="0" w:firstLine="0"/>
    </w:pPr>
    <w:rPr>
      <w:b/>
      <w:bCs/>
      <w:color w:val="000000" w:themeColor="text1"/>
      <w:sz w:val="24"/>
      <w:szCs w:val="22"/>
    </w:rPr>
  </w:style>
  <w:style w:type="paragraph" w:customStyle="1" w:styleId="4Balk">
    <w:name w:val="4. Başlık"/>
    <w:basedOn w:val="Balk4"/>
    <w:next w:val="Normal"/>
    <w:qFormat/>
    <w:rsid w:val="00674353"/>
    <w:pPr>
      <w:numPr>
        <w:ilvl w:val="3"/>
        <w:numId w:val="1"/>
      </w:numPr>
      <w:spacing w:before="240" w:after="120"/>
      <w:ind w:left="0" w:firstLine="0"/>
    </w:pPr>
    <w:rPr>
      <w:b/>
      <w:bCs/>
      <w:i w:val="0"/>
      <w:color w:val="000000" w:themeColor="text1"/>
    </w:rPr>
  </w:style>
  <w:style w:type="paragraph" w:customStyle="1" w:styleId="5Balk">
    <w:name w:val="5. Başlık"/>
    <w:basedOn w:val="Balk5"/>
    <w:next w:val="Normal"/>
    <w:qFormat/>
    <w:rsid w:val="00674353"/>
    <w:pPr>
      <w:numPr>
        <w:ilvl w:val="4"/>
        <w:numId w:val="1"/>
      </w:numPr>
      <w:spacing w:before="240" w:after="120"/>
      <w:ind w:left="0" w:firstLine="0"/>
    </w:pPr>
    <w:rPr>
      <w:b/>
      <w:bCs/>
      <w:iCs/>
      <w:color w:val="auto"/>
    </w:rPr>
  </w:style>
  <w:style w:type="character" w:styleId="Gl">
    <w:name w:val="Strong"/>
    <w:basedOn w:val="VarsaylanParagrafYazTipi"/>
    <w:uiPriority w:val="22"/>
    <w:qFormat/>
    <w:rsid w:val="00443C4B"/>
    <w:rPr>
      <w:b/>
      <w:bCs/>
    </w:rPr>
  </w:style>
  <w:style w:type="paragraph" w:styleId="NormalWeb">
    <w:name w:val="Normal (Web)"/>
    <w:basedOn w:val="Normal"/>
    <w:uiPriority w:val="99"/>
    <w:semiHidden/>
    <w:unhideWhenUsed/>
    <w:rsid w:val="00443C4B"/>
    <w:pPr>
      <w:spacing w:before="100" w:beforeAutospacing="1" w:after="100" w:afterAutospacing="1" w:line="240" w:lineRule="auto"/>
      <w:jc w:val="left"/>
    </w:pPr>
    <w:rPr>
      <w:rFonts w:eastAsia="Times New Roman" w:cs="Times New Roman"/>
      <w:color w:val="auto"/>
      <w:szCs w:val="24"/>
      <w:lang w:eastAsia="tr-TR"/>
    </w:rPr>
  </w:style>
  <w:style w:type="paragraph" w:styleId="stBilgi">
    <w:name w:val="header"/>
    <w:basedOn w:val="Normal"/>
    <w:link w:val="stBilgiChar"/>
    <w:uiPriority w:val="99"/>
    <w:unhideWhenUsed/>
    <w:rsid w:val="00443C4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443C4B"/>
    <w:rPr>
      <w:rFonts w:ascii="Times New Roman" w:hAnsi="Times New Roman"/>
      <w:color w:val="000000" w:themeColor="text1"/>
      <w:kern w:val="0"/>
      <w:szCs w:val="22"/>
      <w14:ligatures w14:val="none"/>
    </w:rPr>
  </w:style>
  <w:style w:type="paragraph" w:styleId="AltBilgi">
    <w:name w:val="footer"/>
    <w:basedOn w:val="Normal"/>
    <w:link w:val="AltBilgiChar"/>
    <w:uiPriority w:val="99"/>
    <w:unhideWhenUsed/>
    <w:rsid w:val="00443C4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443C4B"/>
    <w:rPr>
      <w:rFonts w:ascii="Times New Roman" w:hAnsi="Times New Roman"/>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1020</Words>
  <Characters>6340</Characters>
  <Application>Microsoft Office Word</Application>
  <DocSecurity>0</DocSecurity>
  <Lines>253</Lines>
  <Paragraphs>188</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4</cp:revision>
  <dcterms:created xsi:type="dcterms:W3CDTF">2026-03-25T13:30:00Z</dcterms:created>
  <dcterms:modified xsi:type="dcterms:W3CDTF">2026-03-26T06:52:00Z</dcterms:modified>
</cp:coreProperties>
</file>