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90FC" w14:textId="3D63B403" w:rsidR="00F21581" w:rsidRPr="00F21581" w:rsidRDefault="00F21581" w:rsidP="00F21581">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F21581">
        <w:rPr>
          <w:rFonts w:ascii="Times New Roman" w:eastAsia="Times New Roman" w:hAnsi="Times New Roman" w:cs="Times New Roman"/>
          <w:b/>
          <w:bCs/>
          <w:kern w:val="0"/>
          <w:sz w:val="22"/>
          <w:szCs w:val="22"/>
          <w:lang w:eastAsia="tr-TR"/>
          <w14:ligatures w14:val="none"/>
        </w:rPr>
        <w:t>Analizin Adı</w:t>
      </w:r>
      <w:r w:rsidRPr="00F21581">
        <w:rPr>
          <w:rFonts w:ascii="Times New Roman" w:eastAsia="Times New Roman" w:hAnsi="Times New Roman" w:cs="Times New Roman"/>
          <w:b/>
          <w:bCs/>
          <w:kern w:val="0"/>
          <w:sz w:val="22"/>
          <w:szCs w:val="22"/>
          <w:lang w:eastAsia="tr-TR"/>
          <w14:ligatures w14:val="none"/>
        </w:rPr>
        <w:t xml:space="preserve">: </w:t>
      </w:r>
      <w:r w:rsidRPr="00F21581">
        <w:rPr>
          <w:rFonts w:ascii="Times New Roman" w:eastAsia="Times New Roman" w:hAnsi="Times New Roman" w:cs="Times New Roman"/>
          <w:kern w:val="0"/>
          <w:sz w:val="22"/>
          <w:szCs w:val="22"/>
          <w:lang w:eastAsia="tr-TR"/>
          <w14:ligatures w14:val="none"/>
        </w:rPr>
        <w:t>Deneysel Desende İstatistiksel Analiz</w:t>
      </w:r>
    </w:p>
    <w:p w14:paraId="0F0237BB" w14:textId="0D5D4EAA" w:rsidR="0031131D" w:rsidRPr="00F21581" w:rsidRDefault="00F21581" w:rsidP="00F21581">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F21581">
        <w:rPr>
          <w:rFonts w:ascii="Times New Roman" w:eastAsia="Times New Roman" w:hAnsi="Times New Roman" w:cs="Times New Roman"/>
          <w:b/>
          <w:bCs/>
          <w:kern w:val="0"/>
          <w:sz w:val="22"/>
          <w:szCs w:val="22"/>
          <w:lang w:eastAsia="tr-TR"/>
          <w14:ligatures w14:val="none"/>
        </w:rPr>
        <w:t>Kullanım Alanları</w:t>
      </w:r>
      <w:r w:rsidRPr="00F21581">
        <w:rPr>
          <w:rFonts w:ascii="Times New Roman" w:eastAsia="Times New Roman" w:hAnsi="Times New Roman" w:cs="Times New Roman"/>
          <w:b/>
          <w:bCs/>
          <w:kern w:val="0"/>
          <w:sz w:val="22"/>
          <w:szCs w:val="22"/>
          <w:lang w:eastAsia="tr-TR"/>
          <w14:ligatures w14:val="none"/>
        </w:rPr>
        <w:t xml:space="preserve">: </w:t>
      </w:r>
      <w:r w:rsidRPr="00F21581">
        <w:rPr>
          <w:rFonts w:ascii="Times New Roman" w:eastAsia="Times New Roman" w:hAnsi="Times New Roman" w:cs="Times New Roman"/>
          <w:kern w:val="0"/>
          <w:sz w:val="22"/>
          <w:szCs w:val="22"/>
          <w:lang w:eastAsia="tr-TR"/>
          <w14:ligatures w14:val="none"/>
        </w:rPr>
        <w:t>Deneysel desenlerde istatistiksel analizler, bir müdahalenin etkisini ölçmek amacıyla kullanılan araştırmalarda tercih edilmektedir. Özellikle sağlık bilimleri, psikoloji, eğitim bilimleri ve davranış bilimlerinde deney ve kontrol gruplarının karşılaştırıldığı çalışmalarda yaygın olarak kullanılmaktadır</w:t>
      </w:r>
    </w:p>
    <w:p w14:paraId="3DA8511E" w14:textId="5D1FF59B" w:rsidR="00F21581" w:rsidRPr="00F21581" w:rsidRDefault="00F21581" w:rsidP="00F21581">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F21581">
        <w:rPr>
          <w:rFonts w:ascii="Times New Roman" w:eastAsia="Times New Roman" w:hAnsi="Times New Roman" w:cs="Times New Roman"/>
          <w:b/>
          <w:bCs/>
          <w:kern w:val="0"/>
          <w:sz w:val="22"/>
          <w:szCs w:val="22"/>
          <w:lang w:eastAsia="tr-TR"/>
          <w14:ligatures w14:val="none"/>
        </w:rPr>
        <w:t>Amacı</w:t>
      </w:r>
      <w:r w:rsidRPr="00F21581">
        <w:rPr>
          <w:rFonts w:ascii="Times New Roman" w:eastAsia="Times New Roman" w:hAnsi="Times New Roman" w:cs="Times New Roman"/>
          <w:b/>
          <w:bCs/>
          <w:kern w:val="0"/>
          <w:sz w:val="22"/>
          <w:szCs w:val="22"/>
          <w:lang w:eastAsia="tr-TR"/>
          <w14:ligatures w14:val="none"/>
        </w:rPr>
        <w:t xml:space="preserve">: </w:t>
      </w:r>
      <w:r w:rsidRPr="00F21581">
        <w:rPr>
          <w:rFonts w:ascii="Times New Roman" w:eastAsia="Times New Roman" w:hAnsi="Times New Roman" w:cs="Times New Roman"/>
          <w:kern w:val="0"/>
          <w:sz w:val="22"/>
          <w:szCs w:val="22"/>
          <w:lang w:eastAsia="tr-TR"/>
          <w14:ligatures w14:val="none"/>
        </w:rPr>
        <w:t>Bu analizlerin temel amacı, uygulanan bir müdahalenin (tedavi, eğitim, program vb.) bağımlı değişken üzerindeki etkisini ortaya koymaktır. Ayrıca gruplar arası farkların, zaman içindeki değişimlerin (öntest–sontest) ve değişkenler arası ilişkilerin istatistiksel olarak anlamlı olup olmadığını belirlemek hedeflenmektedir.</w:t>
      </w:r>
    </w:p>
    <w:p w14:paraId="266E4FA4" w14:textId="5D9A3DCC" w:rsidR="00F21581" w:rsidRPr="00F21581" w:rsidRDefault="00F21581" w:rsidP="00F21581">
      <w:pPr>
        <w:spacing w:line="360" w:lineRule="auto"/>
        <w:jc w:val="both"/>
        <w:outlineLvl w:val="2"/>
        <w:rPr>
          <w:rFonts w:ascii="Times New Roman" w:eastAsia="Times New Roman" w:hAnsi="Times New Roman" w:cs="Times New Roman"/>
          <w:b/>
          <w:bCs/>
          <w:kern w:val="0"/>
          <w:sz w:val="22"/>
          <w:szCs w:val="22"/>
          <w:lang w:eastAsia="tr-TR"/>
          <w14:ligatures w14:val="none"/>
        </w:rPr>
      </w:pPr>
      <w:r w:rsidRPr="00F21581">
        <w:rPr>
          <w:rFonts w:ascii="Times New Roman" w:eastAsia="Times New Roman" w:hAnsi="Times New Roman" w:cs="Times New Roman"/>
          <w:b/>
          <w:bCs/>
          <w:kern w:val="0"/>
          <w:sz w:val="22"/>
          <w:szCs w:val="22"/>
          <w:lang w:eastAsia="tr-TR"/>
          <w14:ligatures w14:val="none"/>
        </w:rPr>
        <w:t>Ne Anlama Geldiği</w:t>
      </w:r>
      <w:r w:rsidRPr="00F21581">
        <w:rPr>
          <w:rFonts w:ascii="Times New Roman" w:eastAsia="Times New Roman" w:hAnsi="Times New Roman" w:cs="Times New Roman"/>
          <w:b/>
          <w:bCs/>
          <w:kern w:val="0"/>
          <w:sz w:val="22"/>
          <w:szCs w:val="22"/>
          <w:lang w:eastAsia="tr-TR"/>
          <w14:ligatures w14:val="none"/>
        </w:rPr>
        <w:t xml:space="preserve">: </w:t>
      </w:r>
      <w:r w:rsidRPr="00F21581">
        <w:rPr>
          <w:rFonts w:ascii="Times New Roman" w:eastAsia="Times New Roman" w:hAnsi="Times New Roman" w:cs="Times New Roman"/>
          <w:kern w:val="0"/>
          <w:sz w:val="22"/>
          <w:szCs w:val="22"/>
          <w:lang w:eastAsia="tr-TR"/>
          <w14:ligatures w14:val="none"/>
        </w:rPr>
        <w:t>Deneysel analizlerde kullanılan t-testi, ANOVA, korelasyon ve ki-kare gibi yöntemler; gruplar arasındaki farkların, değişkenler arası ilişkilerin ve zaman içindeki değişimlerin tesadüfi olup olmadığını ortaya koymaktadır.</w:t>
      </w:r>
    </w:p>
    <w:p w14:paraId="70F2183F" w14:textId="77777777" w:rsidR="00F21581" w:rsidRPr="00F21581" w:rsidRDefault="00F21581" w:rsidP="00F21581">
      <w:pPr>
        <w:numPr>
          <w:ilvl w:val="0"/>
          <w:numId w:val="1"/>
        </w:numPr>
        <w:spacing w:line="360" w:lineRule="auto"/>
        <w:jc w:val="both"/>
        <w:rPr>
          <w:rFonts w:ascii="Times New Roman" w:eastAsia="Times New Roman" w:hAnsi="Times New Roman" w:cs="Times New Roman"/>
          <w:kern w:val="0"/>
          <w:sz w:val="22"/>
          <w:szCs w:val="22"/>
          <w:lang w:eastAsia="tr-TR"/>
          <w14:ligatures w14:val="none"/>
        </w:rPr>
      </w:pPr>
      <w:r w:rsidRPr="00F21581">
        <w:rPr>
          <w:rFonts w:ascii="Times New Roman" w:eastAsia="Times New Roman" w:hAnsi="Times New Roman" w:cs="Times New Roman"/>
          <w:b/>
          <w:bCs/>
          <w:kern w:val="0"/>
          <w:sz w:val="22"/>
          <w:szCs w:val="22"/>
          <w:lang w:eastAsia="tr-TR"/>
          <w14:ligatures w14:val="none"/>
        </w:rPr>
        <w:t>p &lt; .05</w:t>
      </w:r>
      <w:r w:rsidRPr="00F21581">
        <w:rPr>
          <w:rFonts w:ascii="Times New Roman" w:eastAsia="Times New Roman" w:hAnsi="Times New Roman" w:cs="Times New Roman"/>
          <w:kern w:val="0"/>
          <w:sz w:val="22"/>
          <w:szCs w:val="22"/>
          <w:lang w:eastAsia="tr-TR"/>
          <w14:ligatures w14:val="none"/>
        </w:rPr>
        <w:t xml:space="preserve"> olması durumunda elde edilen farkın veya ilişkinin istatistiksel olarak anlamlı olduğu kabul edilmektedir. </w:t>
      </w:r>
    </w:p>
    <w:p w14:paraId="129928A4" w14:textId="77777777" w:rsidR="00F21581" w:rsidRPr="00F21581" w:rsidRDefault="00F21581" w:rsidP="00F21581">
      <w:pPr>
        <w:numPr>
          <w:ilvl w:val="0"/>
          <w:numId w:val="1"/>
        </w:numPr>
        <w:spacing w:line="360" w:lineRule="auto"/>
        <w:jc w:val="both"/>
        <w:rPr>
          <w:rFonts w:ascii="Times New Roman" w:eastAsia="Times New Roman" w:hAnsi="Times New Roman" w:cs="Times New Roman"/>
          <w:kern w:val="0"/>
          <w:sz w:val="22"/>
          <w:szCs w:val="22"/>
          <w:lang w:eastAsia="tr-TR"/>
          <w14:ligatures w14:val="none"/>
        </w:rPr>
      </w:pPr>
      <w:r w:rsidRPr="00F21581">
        <w:rPr>
          <w:rFonts w:ascii="Times New Roman" w:eastAsia="Times New Roman" w:hAnsi="Times New Roman" w:cs="Times New Roman"/>
          <w:b/>
          <w:bCs/>
          <w:kern w:val="0"/>
          <w:sz w:val="22"/>
          <w:szCs w:val="22"/>
          <w:lang w:eastAsia="tr-TR"/>
          <w14:ligatures w14:val="none"/>
        </w:rPr>
        <w:t>p &gt; .05</w:t>
      </w:r>
      <w:r w:rsidRPr="00F21581">
        <w:rPr>
          <w:rFonts w:ascii="Times New Roman" w:eastAsia="Times New Roman" w:hAnsi="Times New Roman" w:cs="Times New Roman"/>
          <w:kern w:val="0"/>
          <w:sz w:val="22"/>
          <w:szCs w:val="22"/>
          <w:lang w:eastAsia="tr-TR"/>
          <w14:ligatures w14:val="none"/>
        </w:rPr>
        <w:t xml:space="preserve"> olması durumunda ise gözlenen farkın istatistiksel olarak anlamlı olmadığı sonucuna ulaşılmaktadır. </w:t>
      </w:r>
    </w:p>
    <w:p w14:paraId="18B8E9E2" w14:textId="77777777" w:rsidR="00F21581" w:rsidRPr="00F21581" w:rsidRDefault="00F21581" w:rsidP="00F21581">
      <w:pPr>
        <w:spacing w:line="360" w:lineRule="auto"/>
        <w:jc w:val="both"/>
        <w:rPr>
          <w:rFonts w:ascii="Times New Roman" w:eastAsia="Times New Roman" w:hAnsi="Times New Roman" w:cs="Times New Roman"/>
          <w:kern w:val="0"/>
          <w:sz w:val="22"/>
          <w:szCs w:val="22"/>
          <w:lang w:eastAsia="tr-TR"/>
          <w14:ligatures w14:val="none"/>
        </w:rPr>
      </w:pPr>
      <w:r w:rsidRPr="00F21581">
        <w:rPr>
          <w:rFonts w:ascii="Times New Roman" w:eastAsia="Times New Roman" w:hAnsi="Times New Roman" w:cs="Times New Roman"/>
          <w:kern w:val="0"/>
          <w:sz w:val="22"/>
          <w:szCs w:val="22"/>
          <w:lang w:eastAsia="tr-TR"/>
          <w14:ligatures w14:val="none"/>
        </w:rPr>
        <w:t>Bu analizler sayesinde müdahalenin etkisi bilimsel olarak test edilmekte ve elde edilen bulguların güvenilirliği artırılmaktadır.</w:t>
      </w:r>
    </w:p>
    <w:p w14:paraId="7C2E51F7" w14:textId="11C22FBD" w:rsidR="00F21581" w:rsidRPr="00F21581" w:rsidRDefault="00F21581" w:rsidP="00F21581">
      <w:pPr>
        <w:spacing w:line="360" w:lineRule="auto"/>
        <w:jc w:val="both"/>
        <w:rPr>
          <w:rFonts w:ascii="Times New Roman" w:hAnsi="Times New Roman" w:cs="Times New Roman"/>
          <w:color w:val="000000" w:themeColor="text1"/>
          <w:sz w:val="22"/>
          <w:szCs w:val="22"/>
        </w:rPr>
      </w:pPr>
      <w:r w:rsidRPr="00F21581">
        <w:rPr>
          <w:rFonts w:ascii="Times New Roman" w:hAnsi="Times New Roman" w:cs="Times New Roman"/>
          <w:b/>
          <w:bCs/>
          <w:color w:val="000000" w:themeColor="text1"/>
          <w:sz w:val="22"/>
          <w:szCs w:val="22"/>
        </w:rPr>
        <w:t>Örnek Analiz:</w:t>
      </w:r>
      <w:r w:rsidRPr="00F21581">
        <w:rPr>
          <w:rFonts w:ascii="Times New Roman" w:hAnsi="Times New Roman" w:cs="Times New Roman"/>
          <w:color w:val="000000" w:themeColor="text1"/>
          <w:sz w:val="22"/>
          <w:szCs w:val="22"/>
        </w:rPr>
        <w:t xml:space="preserve"> </w:t>
      </w:r>
      <w:r w:rsidR="0031131D" w:rsidRPr="00F21581">
        <w:rPr>
          <w:rFonts w:ascii="Times New Roman" w:hAnsi="Times New Roman" w:cs="Times New Roman"/>
          <w:color w:val="000000" w:themeColor="text1"/>
          <w:sz w:val="22"/>
          <w:szCs w:val="22"/>
        </w:rPr>
        <w:t>Tedavi grubundaki katılımcılara, Müdahale 1 ve diğer Teknik 1 içeren bir tedavi uygulanmış, kontrol grubundaki katılımcılara ise herhangi bir Müdahale 1 uygulanmamıştır.</w:t>
      </w:r>
    </w:p>
    <w:p w14:paraId="357B923C" w14:textId="77777777"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Araştırmanın başında, Durum 1 olan katılımcılar rastgele şekilde deney ve kontrol gruplarına ayrılmıştır. Her iki grup da demografik olarak benzer özellikler göstermekte olup, bu durum gruplar arası karşılaştırmaların sağlıklı bir şekilde yapılmasını sağlamıştır. Deney grubundaki 32 katılımcıya Müdahale 1 uygulanırken, kontrol grubundaki 32 katılımcıya herhangi bir müdahale yapılmamıştır. Bu ayırım, müdahalenin etkilerini izole edebilmek adına kritik bir rol oynamıştır.</w:t>
      </w:r>
    </w:p>
    <w:p w14:paraId="60A5DEF9" w14:textId="77777777"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Bu çalışmada deney grubuna uygulanan Müdahale 1, çeşitli manuel ve destekleyici teknikleri içermektedir. Bu teknikler, katılımcıların ihtiyaçlarına göre özelleştirilmiş ve düzenli seanslar halinde uygulanarak, müdahalenin etkinliği değerlendirilmiştir.</w:t>
      </w:r>
    </w:p>
    <w:p w14:paraId="269AFABC" w14:textId="21935988"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Katılımcılar ilk olarak bir ön değerlendirmeye tabi tutulmuş, bu aşamada Ölçek 1, Ölçek 2 ve Ölçek 3 kullanılarak başlangıç düzeyleri ölçülmüştür. Tedavi grubundaki katılımcılara, belirli bir süre boyunca Müdahale 1 uygulanmıştır. Sürecin sonunda, her iki gruba tekrar aynı testler uygulanmış ve son test verileri toplanmıştır.</w:t>
      </w:r>
    </w:p>
    <w:p w14:paraId="12FDB07B" w14:textId="2FBBB774"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b/>
          <w:color w:val="000000" w:themeColor="text1"/>
          <w:sz w:val="22"/>
          <w:szCs w:val="22"/>
        </w:rPr>
        <w:t xml:space="preserve">Ölçek 1: </w:t>
      </w:r>
      <w:r w:rsidRPr="00F21581">
        <w:rPr>
          <w:rFonts w:ascii="Times New Roman" w:hAnsi="Times New Roman" w:cs="Times New Roman"/>
          <w:color w:val="000000" w:themeColor="text1"/>
          <w:sz w:val="22"/>
          <w:szCs w:val="22"/>
        </w:rPr>
        <w:t xml:space="preserve">Ağrı düzeyleri, tedavi öncesi ve sonrasında Görsel Analog Ölçeği (VAS) kullanılarak ölçülmüştür. VAS, 0’dan 10’a kadar uzanan bir ölçek olup, 0 hiçbir ağrı olmadığını, 10 ise en şiddetli ağrıyı ifade eder. Visual Analog Skala (VAS), ağrı ve diğer subjektif ölçütlerin değerlendirilmesinde kullanılan yaygın bir yöntemdir ve 1921 yılında Hayes ve Patterson tarafından geliştirilmiştir. Bu ölçek, </w:t>
      </w:r>
      <w:r w:rsidRPr="00F21581">
        <w:rPr>
          <w:rFonts w:ascii="Times New Roman" w:hAnsi="Times New Roman" w:cs="Times New Roman"/>
          <w:color w:val="000000" w:themeColor="text1"/>
          <w:sz w:val="22"/>
          <w:szCs w:val="22"/>
        </w:rPr>
        <w:lastRenderedPageBreak/>
        <w:t>subjektif semptomların, özellikle de ağrının ölçülmesinde kullanılan basit ve etkili bir araç olarak tıp literatüründe geniş bir kabul görmüştür.</w:t>
      </w:r>
    </w:p>
    <w:p w14:paraId="29680905" w14:textId="3D775696"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b/>
          <w:color w:val="000000" w:themeColor="text1"/>
          <w:sz w:val="22"/>
          <w:szCs w:val="22"/>
        </w:rPr>
        <w:t xml:space="preserve">Ölçek 2: </w:t>
      </w:r>
      <w:r w:rsidRPr="00F21581">
        <w:rPr>
          <w:rFonts w:ascii="Times New Roman" w:hAnsi="Times New Roman" w:cs="Times New Roman"/>
          <w:color w:val="000000" w:themeColor="text1"/>
          <w:sz w:val="22"/>
          <w:szCs w:val="22"/>
        </w:rPr>
        <w:t>SF-36 yaşam kalitesini değerlendirmek için oluşturulmuştur (Ware ve ark., 1992). Türkiye'de geçerlilik ve güvenilirliği Koçyiğit ve arkadaşları tarafından çalışılmıştır (Koçyiğit ve ark., 1999). Bu araç sekiz alt boyut içermektedir: genel sağlık algısı, fiziksel işlev, fiziksel rol güçlüğü, duygusal rol güçlüğü, sosyal işlevsellik, ağrı, enerji-canlılık ve zihinsel sağlık. Her bir alt boyutta 2 ila 10 arasında soru bulunmakta ve toplam puana dahil edilmeyen ek bir sağlık puanı sorusu yer almaktadır. Her soru tek bir ölçekte değerlendirilir ve puanlar 0 ile 100 arasında değişir. Daha düşük bir puan daha kötü bir sağlık durumuna işaret eder.</w:t>
      </w:r>
    </w:p>
    <w:p w14:paraId="172ED059" w14:textId="3AAC3AF9"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b/>
          <w:color w:val="000000" w:themeColor="text1"/>
          <w:sz w:val="22"/>
          <w:szCs w:val="22"/>
        </w:rPr>
        <w:t xml:space="preserve">Ölçek 3: </w:t>
      </w:r>
      <w:r w:rsidRPr="00F21581">
        <w:rPr>
          <w:rFonts w:ascii="Times New Roman" w:hAnsi="Times New Roman" w:cs="Times New Roman"/>
          <w:color w:val="000000" w:themeColor="text1"/>
          <w:sz w:val="22"/>
          <w:szCs w:val="22"/>
        </w:rPr>
        <w:t>Kalaycıoğlu, O., Demir, G., Tokur-Kesgin, M. (2022) tarafından geliştirilen bu ölçek, katılımcıların ağrı şiddeti, hareket kabiliyeti ve genel sağlık algısını değerlendirmek amacıyla kullanılmıştır. Ölçek kas iskelet şikayetleri, psödonörolojik şikayetler, gastrointestinal şikayetler, ailerji ve grip şikayetleri olmak üzere 5 altboyuttan oluşmaktadır.</w:t>
      </w:r>
    </w:p>
    <w:p w14:paraId="44D265AA" w14:textId="77777777"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Çalışmada elde edilen veriler, SPSS 21.0 yazılımı kullanılarak analiz edilmiştir. Tanımlayıcı istatistikler arasında ortalama, standart sapma ve yüzdeler yer almıştır. Kategorik değişkenler arasındaki farkları incelemek için ki-kare testi uygulanmıştır. İki grup arasındaki karşılaştırmalar için bağımsız örneklem t testi, üç veya daha fazla grup arasındaki karşılaştırmalar için ise tek yönlü ANOVA kullanılmıştır. Sürekli değişkenler arasındaki ilişkileri değerlendirmek amacıyla Pearson korelasyon analizi yapılmıştır. Ayrıca, öntest ve sontest sonuçları arasındaki farkları değerlendirmek için eşleştirilmiş örnekler t testi uygulanmıştır. Sonuçlar %95 güven aralığında (p&lt;0.05) istatistiksel olarak anlamlı kabul edilmiştir.</w:t>
      </w:r>
    </w:p>
    <w:p w14:paraId="602CFE60" w14:textId="7709C902"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İstatistiksel analizde kullanılan yöntemler, çalışmanın sonuçlarının güvenilirliğini artırmak amacıyla titizlikle seçilmiştir. Farklı istatistiksel testlerin kullanılması, değişkenler arasındaki ilişkilerin ve gruplar arasındaki farkların daha derinlemesine incelenmesini sağlamıştır. Bu yaklaşım, verilerin analitik olarak güçlü bir temele oturtulmasına yardımcı olmuştur.</w:t>
      </w:r>
    </w:p>
    <w:p w14:paraId="39278B68" w14:textId="34A62AC5" w:rsidR="0031131D" w:rsidRPr="00F21581" w:rsidRDefault="0031131D" w:rsidP="00F21581">
      <w:pPr>
        <w:pStyle w:val="ResimYazs"/>
        <w:spacing w:after="0" w:line="360" w:lineRule="auto"/>
        <w:jc w:val="both"/>
        <w:rPr>
          <w:rFonts w:ascii="Times New Roman" w:hAnsi="Times New Roman" w:cs="Times New Roman"/>
          <w:b/>
          <w:bCs/>
          <w:color w:val="000000" w:themeColor="text1"/>
          <w:sz w:val="22"/>
          <w:szCs w:val="22"/>
        </w:rPr>
      </w:pPr>
      <w:bookmarkStart w:id="0" w:name="_Toc175232117"/>
      <w:bookmarkStart w:id="1" w:name="_Toc176612494"/>
      <w:r w:rsidRPr="00F21581">
        <w:rPr>
          <w:rFonts w:ascii="Times New Roman" w:hAnsi="Times New Roman" w:cs="Times New Roman"/>
          <w:b/>
          <w:bCs/>
          <w:color w:val="000000" w:themeColor="text1"/>
          <w:sz w:val="22"/>
          <w:szCs w:val="22"/>
        </w:rPr>
        <w:t xml:space="preserve">Tablo </w:t>
      </w:r>
      <w:bookmarkEnd w:id="0"/>
      <w:bookmarkEnd w:id="1"/>
      <w:r w:rsidR="00853CA6" w:rsidRPr="00F21581">
        <w:rPr>
          <w:rFonts w:ascii="Times New Roman" w:hAnsi="Times New Roman" w:cs="Times New Roman"/>
          <w:b/>
          <w:bCs/>
          <w:color w:val="000000" w:themeColor="text1"/>
          <w:sz w:val="22"/>
          <w:szCs w:val="22"/>
        </w:rPr>
        <w:t>1</w:t>
      </w:r>
    </w:p>
    <w:p w14:paraId="72CC44DF" w14:textId="29122577" w:rsidR="0031131D" w:rsidRPr="00F21581" w:rsidRDefault="0031131D" w:rsidP="00F21581">
      <w:pPr>
        <w:spacing w:line="360" w:lineRule="auto"/>
        <w:jc w:val="both"/>
        <w:rPr>
          <w:rFonts w:ascii="Times New Roman" w:hAnsi="Times New Roman" w:cs="Times New Roman"/>
          <w:b/>
          <w:bCs/>
          <w:color w:val="000000" w:themeColor="text1"/>
          <w:sz w:val="22"/>
          <w:szCs w:val="22"/>
        </w:rPr>
      </w:pPr>
      <w:r w:rsidRPr="00F21581">
        <w:rPr>
          <w:rFonts w:ascii="Times New Roman" w:hAnsi="Times New Roman" w:cs="Times New Roman"/>
          <w:b/>
          <w:bCs/>
          <w:color w:val="000000" w:themeColor="text1"/>
          <w:sz w:val="22"/>
          <w:szCs w:val="22"/>
        </w:rPr>
        <w:t>Müdahale 1 Uygulanan Katılımcılarda Eğitim Durumu Temelinde Müdahale Öncesi ve Sonrası Ölçüm Değerlerinin Karşılaştırılması</w:t>
      </w:r>
    </w:p>
    <w:p w14:paraId="68FAE688" w14:textId="77777777" w:rsidR="0031131D" w:rsidRPr="00DE4D9E" w:rsidRDefault="0031131D" w:rsidP="0031131D">
      <w:pPr>
        <w:rPr>
          <w:rFonts w:ascii="Times New Roman" w:hAnsi="Times New Roman" w:cs="Times New Roman"/>
          <w:color w:val="000000" w:themeColor="text1"/>
        </w:rPr>
      </w:pPr>
    </w:p>
    <w:tbl>
      <w:tblPr>
        <w:tblW w:w="5000" w:type="pct"/>
        <w:tblBorders>
          <w:top w:val="single" w:sz="8" w:space="0" w:color="000000"/>
          <w:bottom w:val="single" w:sz="8" w:space="0" w:color="000000"/>
        </w:tblBorders>
        <w:tblLook w:val="0000" w:firstRow="0" w:lastRow="0" w:firstColumn="0" w:lastColumn="0" w:noHBand="0" w:noVBand="0"/>
      </w:tblPr>
      <w:tblGrid>
        <w:gridCol w:w="1400"/>
        <w:gridCol w:w="1905"/>
        <w:gridCol w:w="1040"/>
        <w:gridCol w:w="1038"/>
        <w:gridCol w:w="1470"/>
        <w:gridCol w:w="1094"/>
        <w:gridCol w:w="1125"/>
      </w:tblGrid>
      <w:tr w:rsidR="0031131D" w:rsidRPr="00F21581" w14:paraId="31BB772E" w14:textId="77777777" w:rsidTr="00A24B31">
        <w:trPr>
          <w:trHeight w:val="276"/>
        </w:trPr>
        <w:tc>
          <w:tcPr>
            <w:tcW w:w="1822" w:type="pct"/>
            <w:gridSpan w:val="2"/>
            <w:vMerge w:val="restart"/>
            <w:tcBorders>
              <w:left w:val="nil"/>
              <w:bottom w:val="nil"/>
              <w:right w:val="nil"/>
            </w:tcBorders>
          </w:tcPr>
          <w:p w14:paraId="217B18B3" w14:textId="77777777" w:rsidR="0031131D" w:rsidRPr="00F21581" w:rsidRDefault="0031131D" w:rsidP="00F21581">
            <w:pPr>
              <w:jc w:val="center"/>
              <w:rPr>
                <w:rFonts w:ascii="Times New Roman" w:hAnsi="Times New Roman" w:cs="Times New Roman"/>
                <w:color w:val="000000" w:themeColor="text1"/>
                <w:sz w:val="20"/>
                <w:szCs w:val="20"/>
              </w:rPr>
            </w:pPr>
          </w:p>
        </w:tc>
        <w:tc>
          <w:tcPr>
            <w:tcW w:w="573" w:type="pct"/>
            <w:vMerge w:val="restart"/>
            <w:tcBorders>
              <w:left w:val="nil"/>
              <w:right w:val="nil"/>
            </w:tcBorders>
          </w:tcPr>
          <w:p w14:paraId="0A6F3DE8"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N</w:t>
            </w:r>
          </w:p>
        </w:tc>
        <w:tc>
          <w:tcPr>
            <w:tcW w:w="572" w:type="pct"/>
            <w:vMerge w:val="restart"/>
            <w:tcBorders>
              <w:left w:val="nil"/>
              <w:bottom w:val="nil"/>
              <w:right w:val="nil"/>
            </w:tcBorders>
          </w:tcPr>
          <w:p w14:paraId="68A6AD91"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Ort.</w:t>
            </w:r>
          </w:p>
        </w:tc>
        <w:tc>
          <w:tcPr>
            <w:tcW w:w="810" w:type="pct"/>
            <w:vMerge w:val="restart"/>
            <w:tcBorders>
              <w:left w:val="nil"/>
              <w:right w:val="nil"/>
            </w:tcBorders>
          </w:tcPr>
          <w:p w14:paraId="5D5D8E08"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Ss (±)</w:t>
            </w:r>
          </w:p>
        </w:tc>
        <w:tc>
          <w:tcPr>
            <w:tcW w:w="603" w:type="pct"/>
            <w:vMerge w:val="restart"/>
            <w:tcBorders>
              <w:left w:val="nil"/>
              <w:bottom w:val="nil"/>
              <w:right w:val="nil"/>
            </w:tcBorders>
          </w:tcPr>
          <w:p w14:paraId="691EBA7F"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F</w:t>
            </w:r>
          </w:p>
        </w:tc>
        <w:tc>
          <w:tcPr>
            <w:tcW w:w="620" w:type="pct"/>
            <w:vMerge w:val="restart"/>
            <w:tcBorders>
              <w:left w:val="nil"/>
              <w:right w:val="nil"/>
            </w:tcBorders>
          </w:tcPr>
          <w:p w14:paraId="5AE58210"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p</w:t>
            </w:r>
          </w:p>
        </w:tc>
      </w:tr>
      <w:tr w:rsidR="0031131D" w:rsidRPr="00F21581" w14:paraId="2E594684" w14:textId="77777777" w:rsidTr="00A24B31">
        <w:trPr>
          <w:trHeight w:val="276"/>
        </w:trPr>
        <w:tc>
          <w:tcPr>
            <w:tcW w:w="1822" w:type="pct"/>
            <w:gridSpan w:val="2"/>
            <w:vMerge/>
            <w:tcBorders>
              <w:left w:val="nil"/>
              <w:bottom w:val="single" w:sz="4" w:space="0" w:color="auto"/>
              <w:right w:val="nil"/>
            </w:tcBorders>
          </w:tcPr>
          <w:p w14:paraId="7FD7F19B" w14:textId="77777777" w:rsidR="0031131D" w:rsidRPr="00F21581" w:rsidRDefault="0031131D" w:rsidP="00F21581">
            <w:pPr>
              <w:jc w:val="center"/>
              <w:rPr>
                <w:rFonts w:ascii="Times New Roman" w:hAnsi="Times New Roman" w:cs="Times New Roman"/>
                <w:color w:val="000000" w:themeColor="text1"/>
                <w:sz w:val="20"/>
                <w:szCs w:val="20"/>
              </w:rPr>
            </w:pPr>
          </w:p>
        </w:tc>
        <w:tc>
          <w:tcPr>
            <w:tcW w:w="573" w:type="pct"/>
            <w:vMerge/>
            <w:tcBorders>
              <w:bottom w:val="single" w:sz="4" w:space="0" w:color="auto"/>
            </w:tcBorders>
          </w:tcPr>
          <w:p w14:paraId="1A5CB59B" w14:textId="77777777" w:rsidR="0031131D" w:rsidRPr="00F21581" w:rsidRDefault="0031131D" w:rsidP="00F21581">
            <w:pPr>
              <w:jc w:val="center"/>
              <w:rPr>
                <w:rFonts w:ascii="Times New Roman" w:hAnsi="Times New Roman" w:cs="Times New Roman"/>
                <w:color w:val="000000" w:themeColor="text1"/>
                <w:sz w:val="20"/>
                <w:szCs w:val="20"/>
              </w:rPr>
            </w:pPr>
          </w:p>
        </w:tc>
        <w:tc>
          <w:tcPr>
            <w:tcW w:w="572" w:type="pct"/>
            <w:vMerge/>
            <w:tcBorders>
              <w:left w:val="nil"/>
              <w:bottom w:val="single" w:sz="4" w:space="0" w:color="auto"/>
              <w:right w:val="nil"/>
            </w:tcBorders>
          </w:tcPr>
          <w:p w14:paraId="71AFBD2B" w14:textId="77777777" w:rsidR="0031131D" w:rsidRPr="00F21581" w:rsidRDefault="0031131D" w:rsidP="00F21581">
            <w:pPr>
              <w:jc w:val="center"/>
              <w:rPr>
                <w:rFonts w:ascii="Times New Roman" w:hAnsi="Times New Roman" w:cs="Times New Roman"/>
                <w:color w:val="000000" w:themeColor="text1"/>
                <w:sz w:val="20"/>
                <w:szCs w:val="20"/>
              </w:rPr>
            </w:pPr>
          </w:p>
        </w:tc>
        <w:tc>
          <w:tcPr>
            <w:tcW w:w="810" w:type="pct"/>
            <w:vMerge/>
            <w:tcBorders>
              <w:bottom w:val="single" w:sz="4" w:space="0" w:color="auto"/>
            </w:tcBorders>
          </w:tcPr>
          <w:p w14:paraId="7DF90DDB" w14:textId="77777777" w:rsidR="0031131D" w:rsidRPr="00F21581" w:rsidRDefault="0031131D" w:rsidP="00F21581">
            <w:pPr>
              <w:jc w:val="center"/>
              <w:rPr>
                <w:rFonts w:ascii="Times New Roman" w:hAnsi="Times New Roman" w:cs="Times New Roman"/>
                <w:color w:val="000000" w:themeColor="text1"/>
                <w:sz w:val="20"/>
                <w:szCs w:val="20"/>
              </w:rPr>
            </w:pPr>
          </w:p>
        </w:tc>
        <w:tc>
          <w:tcPr>
            <w:tcW w:w="603" w:type="pct"/>
            <w:vMerge/>
            <w:tcBorders>
              <w:left w:val="nil"/>
              <w:bottom w:val="single" w:sz="4" w:space="0" w:color="auto"/>
              <w:right w:val="nil"/>
            </w:tcBorders>
          </w:tcPr>
          <w:p w14:paraId="569598B2" w14:textId="77777777" w:rsidR="0031131D" w:rsidRPr="00F21581" w:rsidRDefault="0031131D" w:rsidP="00F21581">
            <w:pPr>
              <w:jc w:val="center"/>
              <w:rPr>
                <w:rFonts w:ascii="Times New Roman" w:hAnsi="Times New Roman" w:cs="Times New Roman"/>
                <w:color w:val="000000" w:themeColor="text1"/>
                <w:sz w:val="20"/>
                <w:szCs w:val="20"/>
              </w:rPr>
            </w:pPr>
          </w:p>
        </w:tc>
        <w:tc>
          <w:tcPr>
            <w:tcW w:w="620" w:type="pct"/>
            <w:vMerge/>
            <w:tcBorders>
              <w:bottom w:val="single" w:sz="4" w:space="0" w:color="auto"/>
            </w:tcBorders>
          </w:tcPr>
          <w:p w14:paraId="440FD488" w14:textId="77777777" w:rsidR="0031131D" w:rsidRPr="00F21581" w:rsidRDefault="0031131D" w:rsidP="00F21581">
            <w:pPr>
              <w:jc w:val="center"/>
              <w:rPr>
                <w:rFonts w:ascii="Times New Roman" w:hAnsi="Times New Roman" w:cs="Times New Roman"/>
                <w:color w:val="000000" w:themeColor="text1"/>
                <w:sz w:val="20"/>
                <w:szCs w:val="20"/>
              </w:rPr>
            </w:pPr>
          </w:p>
        </w:tc>
      </w:tr>
      <w:tr w:rsidR="0031131D" w:rsidRPr="00F21581" w14:paraId="3AA2C56F" w14:textId="77777777" w:rsidTr="00A24B31">
        <w:tc>
          <w:tcPr>
            <w:tcW w:w="772" w:type="pct"/>
            <w:vMerge w:val="restart"/>
            <w:tcBorders>
              <w:top w:val="single" w:sz="4" w:space="0" w:color="auto"/>
              <w:left w:val="nil"/>
              <w:bottom w:val="nil"/>
              <w:right w:val="nil"/>
            </w:tcBorders>
          </w:tcPr>
          <w:p w14:paraId="31F2F904" w14:textId="38092A3B"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Ölçüm 1Öntest</w:t>
            </w:r>
          </w:p>
        </w:tc>
        <w:tc>
          <w:tcPr>
            <w:tcW w:w="1050" w:type="pct"/>
            <w:tcBorders>
              <w:top w:val="single" w:sz="4" w:space="0" w:color="auto"/>
              <w:left w:val="nil"/>
              <w:right w:val="nil"/>
            </w:tcBorders>
          </w:tcPr>
          <w:p w14:paraId="5147D7BB"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Lise</w:t>
            </w:r>
          </w:p>
        </w:tc>
        <w:tc>
          <w:tcPr>
            <w:tcW w:w="573" w:type="pct"/>
            <w:tcBorders>
              <w:top w:val="single" w:sz="4" w:space="0" w:color="auto"/>
              <w:left w:val="nil"/>
              <w:bottom w:val="nil"/>
              <w:right w:val="nil"/>
            </w:tcBorders>
          </w:tcPr>
          <w:p w14:paraId="4C2C1380"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7</w:t>
            </w:r>
          </w:p>
        </w:tc>
        <w:tc>
          <w:tcPr>
            <w:tcW w:w="572" w:type="pct"/>
            <w:tcBorders>
              <w:top w:val="single" w:sz="4" w:space="0" w:color="auto"/>
              <w:left w:val="nil"/>
              <w:right w:val="nil"/>
            </w:tcBorders>
          </w:tcPr>
          <w:p w14:paraId="51F4E4EC"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3,14</w:t>
            </w:r>
          </w:p>
        </w:tc>
        <w:tc>
          <w:tcPr>
            <w:tcW w:w="810" w:type="pct"/>
            <w:tcBorders>
              <w:top w:val="single" w:sz="4" w:space="0" w:color="auto"/>
              <w:left w:val="nil"/>
              <w:bottom w:val="nil"/>
              <w:right w:val="nil"/>
            </w:tcBorders>
          </w:tcPr>
          <w:p w14:paraId="3AFF2041"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1,57</w:t>
            </w:r>
          </w:p>
        </w:tc>
        <w:tc>
          <w:tcPr>
            <w:tcW w:w="603" w:type="pct"/>
            <w:vMerge w:val="restart"/>
            <w:tcBorders>
              <w:top w:val="single" w:sz="4" w:space="0" w:color="auto"/>
              <w:left w:val="nil"/>
              <w:right w:val="nil"/>
            </w:tcBorders>
          </w:tcPr>
          <w:p w14:paraId="68853461"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.439</w:t>
            </w:r>
          </w:p>
        </w:tc>
        <w:tc>
          <w:tcPr>
            <w:tcW w:w="620" w:type="pct"/>
            <w:vMerge w:val="restart"/>
            <w:tcBorders>
              <w:top w:val="single" w:sz="4" w:space="0" w:color="auto"/>
              <w:left w:val="nil"/>
              <w:bottom w:val="nil"/>
              <w:right w:val="nil"/>
            </w:tcBorders>
          </w:tcPr>
          <w:p w14:paraId="5937541D"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.657</w:t>
            </w:r>
          </w:p>
        </w:tc>
      </w:tr>
      <w:tr w:rsidR="0031131D" w:rsidRPr="00F21581" w14:paraId="7F01E098" w14:textId="77777777" w:rsidTr="00A24B31">
        <w:tc>
          <w:tcPr>
            <w:tcW w:w="772" w:type="pct"/>
            <w:vMerge/>
            <w:tcBorders>
              <w:left w:val="nil"/>
              <w:bottom w:val="nil"/>
              <w:right w:val="nil"/>
            </w:tcBorders>
          </w:tcPr>
          <w:p w14:paraId="117D188E" w14:textId="77777777" w:rsidR="0031131D" w:rsidRPr="00F21581" w:rsidRDefault="0031131D" w:rsidP="00F21581">
            <w:pPr>
              <w:jc w:val="center"/>
              <w:rPr>
                <w:rFonts w:ascii="Times New Roman" w:hAnsi="Times New Roman" w:cs="Times New Roman"/>
                <w:color w:val="000000" w:themeColor="text1"/>
                <w:sz w:val="20"/>
                <w:szCs w:val="20"/>
              </w:rPr>
            </w:pPr>
          </w:p>
        </w:tc>
        <w:tc>
          <w:tcPr>
            <w:tcW w:w="1050" w:type="pct"/>
          </w:tcPr>
          <w:p w14:paraId="0723C247"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Önlisans</w:t>
            </w:r>
          </w:p>
        </w:tc>
        <w:tc>
          <w:tcPr>
            <w:tcW w:w="573" w:type="pct"/>
            <w:tcBorders>
              <w:left w:val="nil"/>
              <w:bottom w:val="nil"/>
              <w:right w:val="nil"/>
            </w:tcBorders>
          </w:tcPr>
          <w:p w14:paraId="01E0C43C"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4</w:t>
            </w:r>
          </w:p>
        </w:tc>
        <w:tc>
          <w:tcPr>
            <w:tcW w:w="572" w:type="pct"/>
          </w:tcPr>
          <w:p w14:paraId="26D4EC3E"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3,75</w:t>
            </w:r>
          </w:p>
        </w:tc>
        <w:tc>
          <w:tcPr>
            <w:tcW w:w="810" w:type="pct"/>
            <w:tcBorders>
              <w:left w:val="nil"/>
              <w:bottom w:val="nil"/>
              <w:right w:val="nil"/>
            </w:tcBorders>
          </w:tcPr>
          <w:p w14:paraId="5177D413"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2,36</w:t>
            </w:r>
          </w:p>
        </w:tc>
        <w:tc>
          <w:tcPr>
            <w:tcW w:w="603" w:type="pct"/>
            <w:vMerge/>
          </w:tcPr>
          <w:p w14:paraId="7D0FCDAB"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c>
          <w:tcPr>
            <w:tcW w:w="620" w:type="pct"/>
            <w:vMerge/>
            <w:tcBorders>
              <w:left w:val="nil"/>
              <w:bottom w:val="nil"/>
              <w:right w:val="nil"/>
            </w:tcBorders>
          </w:tcPr>
          <w:p w14:paraId="6252011F"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r>
      <w:tr w:rsidR="0031131D" w:rsidRPr="00F21581" w14:paraId="40BEDC85" w14:textId="77777777" w:rsidTr="00A24B31">
        <w:tc>
          <w:tcPr>
            <w:tcW w:w="772" w:type="pct"/>
            <w:vMerge/>
            <w:tcBorders>
              <w:left w:val="nil"/>
              <w:bottom w:val="single" w:sz="4" w:space="0" w:color="auto"/>
              <w:right w:val="nil"/>
            </w:tcBorders>
          </w:tcPr>
          <w:p w14:paraId="06121B5D" w14:textId="77777777" w:rsidR="0031131D" w:rsidRPr="00F21581" w:rsidRDefault="0031131D" w:rsidP="00F21581">
            <w:pPr>
              <w:jc w:val="center"/>
              <w:rPr>
                <w:rFonts w:ascii="Times New Roman" w:hAnsi="Times New Roman" w:cs="Times New Roman"/>
                <w:color w:val="000000" w:themeColor="text1"/>
                <w:sz w:val="20"/>
                <w:szCs w:val="20"/>
              </w:rPr>
            </w:pPr>
          </w:p>
        </w:tc>
        <w:tc>
          <w:tcPr>
            <w:tcW w:w="1050" w:type="pct"/>
            <w:tcBorders>
              <w:left w:val="nil"/>
              <w:bottom w:val="single" w:sz="4" w:space="0" w:color="auto"/>
              <w:right w:val="nil"/>
            </w:tcBorders>
          </w:tcPr>
          <w:p w14:paraId="7FB060B9"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Lisans/Lisansüstü</w:t>
            </w:r>
          </w:p>
        </w:tc>
        <w:tc>
          <w:tcPr>
            <w:tcW w:w="573" w:type="pct"/>
            <w:tcBorders>
              <w:left w:val="nil"/>
              <w:bottom w:val="single" w:sz="4" w:space="0" w:color="auto"/>
              <w:right w:val="nil"/>
            </w:tcBorders>
          </w:tcPr>
          <w:p w14:paraId="2C7BA447"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21</w:t>
            </w:r>
          </w:p>
        </w:tc>
        <w:tc>
          <w:tcPr>
            <w:tcW w:w="572" w:type="pct"/>
            <w:tcBorders>
              <w:left w:val="nil"/>
              <w:bottom w:val="single" w:sz="4" w:space="0" w:color="auto"/>
              <w:right w:val="nil"/>
            </w:tcBorders>
          </w:tcPr>
          <w:p w14:paraId="1E59F011"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2,85</w:t>
            </w:r>
          </w:p>
        </w:tc>
        <w:tc>
          <w:tcPr>
            <w:tcW w:w="810" w:type="pct"/>
            <w:tcBorders>
              <w:left w:val="nil"/>
              <w:bottom w:val="single" w:sz="4" w:space="0" w:color="auto"/>
              <w:right w:val="nil"/>
            </w:tcBorders>
          </w:tcPr>
          <w:p w14:paraId="7B5B7F75"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1,68</w:t>
            </w:r>
          </w:p>
        </w:tc>
        <w:tc>
          <w:tcPr>
            <w:tcW w:w="603" w:type="pct"/>
            <w:vMerge/>
            <w:tcBorders>
              <w:left w:val="nil"/>
              <w:bottom w:val="single" w:sz="4" w:space="0" w:color="auto"/>
              <w:right w:val="nil"/>
            </w:tcBorders>
          </w:tcPr>
          <w:p w14:paraId="0035B00E"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c>
          <w:tcPr>
            <w:tcW w:w="620" w:type="pct"/>
            <w:vMerge/>
            <w:tcBorders>
              <w:left w:val="nil"/>
              <w:bottom w:val="single" w:sz="4" w:space="0" w:color="auto"/>
              <w:right w:val="nil"/>
            </w:tcBorders>
          </w:tcPr>
          <w:p w14:paraId="26AFC900"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r>
      <w:tr w:rsidR="0031131D" w:rsidRPr="00F21581" w14:paraId="0C5B2F25" w14:textId="77777777" w:rsidTr="00A24B31">
        <w:tc>
          <w:tcPr>
            <w:tcW w:w="772" w:type="pct"/>
            <w:vMerge w:val="restart"/>
            <w:tcBorders>
              <w:top w:val="single" w:sz="4" w:space="0" w:color="auto"/>
              <w:left w:val="nil"/>
              <w:bottom w:val="nil"/>
              <w:right w:val="nil"/>
            </w:tcBorders>
          </w:tcPr>
          <w:p w14:paraId="751EA22B" w14:textId="553319E1"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Ölçüm 1 Sontest</w:t>
            </w:r>
          </w:p>
        </w:tc>
        <w:tc>
          <w:tcPr>
            <w:tcW w:w="1050" w:type="pct"/>
            <w:tcBorders>
              <w:top w:val="single" w:sz="4" w:space="0" w:color="auto"/>
            </w:tcBorders>
          </w:tcPr>
          <w:p w14:paraId="3340533E"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Lise</w:t>
            </w:r>
          </w:p>
        </w:tc>
        <w:tc>
          <w:tcPr>
            <w:tcW w:w="573" w:type="pct"/>
            <w:tcBorders>
              <w:top w:val="single" w:sz="4" w:space="0" w:color="auto"/>
              <w:left w:val="nil"/>
              <w:bottom w:val="nil"/>
              <w:right w:val="nil"/>
            </w:tcBorders>
          </w:tcPr>
          <w:p w14:paraId="45C64285"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7</w:t>
            </w:r>
          </w:p>
        </w:tc>
        <w:tc>
          <w:tcPr>
            <w:tcW w:w="572" w:type="pct"/>
            <w:tcBorders>
              <w:top w:val="single" w:sz="4" w:space="0" w:color="auto"/>
            </w:tcBorders>
          </w:tcPr>
          <w:p w14:paraId="61F2CFB7"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2,28</w:t>
            </w:r>
          </w:p>
        </w:tc>
        <w:tc>
          <w:tcPr>
            <w:tcW w:w="810" w:type="pct"/>
            <w:tcBorders>
              <w:top w:val="single" w:sz="4" w:space="0" w:color="auto"/>
              <w:left w:val="nil"/>
              <w:bottom w:val="nil"/>
              <w:right w:val="nil"/>
            </w:tcBorders>
          </w:tcPr>
          <w:p w14:paraId="3B1792CC"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1,11</w:t>
            </w:r>
          </w:p>
        </w:tc>
        <w:tc>
          <w:tcPr>
            <w:tcW w:w="603" w:type="pct"/>
            <w:vMerge w:val="restart"/>
            <w:tcBorders>
              <w:top w:val="single" w:sz="4" w:space="0" w:color="auto"/>
            </w:tcBorders>
          </w:tcPr>
          <w:p w14:paraId="1267647E"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.191</w:t>
            </w:r>
          </w:p>
        </w:tc>
        <w:tc>
          <w:tcPr>
            <w:tcW w:w="620" w:type="pct"/>
            <w:vMerge w:val="restart"/>
            <w:tcBorders>
              <w:top w:val="single" w:sz="4" w:space="0" w:color="auto"/>
              <w:left w:val="nil"/>
              <w:bottom w:val="nil"/>
              <w:right w:val="nil"/>
            </w:tcBorders>
          </w:tcPr>
          <w:p w14:paraId="2386FB16"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.827</w:t>
            </w:r>
          </w:p>
        </w:tc>
      </w:tr>
      <w:tr w:rsidR="0031131D" w:rsidRPr="00F21581" w14:paraId="1BDABBF7" w14:textId="77777777" w:rsidTr="00A24B31">
        <w:tc>
          <w:tcPr>
            <w:tcW w:w="772" w:type="pct"/>
            <w:vMerge/>
            <w:tcBorders>
              <w:left w:val="nil"/>
              <w:bottom w:val="nil"/>
              <w:right w:val="nil"/>
            </w:tcBorders>
          </w:tcPr>
          <w:p w14:paraId="212C621B" w14:textId="77777777" w:rsidR="0031131D" w:rsidRPr="00F21581" w:rsidRDefault="0031131D" w:rsidP="00F21581">
            <w:pPr>
              <w:jc w:val="center"/>
              <w:rPr>
                <w:rFonts w:ascii="Times New Roman" w:hAnsi="Times New Roman" w:cs="Times New Roman"/>
                <w:color w:val="000000" w:themeColor="text1"/>
                <w:sz w:val="20"/>
                <w:szCs w:val="20"/>
              </w:rPr>
            </w:pPr>
          </w:p>
        </w:tc>
        <w:tc>
          <w:tcPr>
            <w:tcW w:w="1050" w:type="pct"/>
            <w:tcBorders>
              <w:left w:val="nil"/>
              <w:right w:val="nil"/>
            </w:tcBorders>
          </w:tcPr>
          <w:p w14:paraId="3EBC5A1C"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Önlisans</w:t>
            </w:r>
          </w:p>
        </w:tc>
        <w:tc>
          <w:tcPr>
            <w:tcW w:w="573" w:type="pct"/>
            <w:tcBorders>
              <w:left w:val="nil"/>
              <w:bottom w:val="nil"/>
              <w:right w:val="nil"/>
            </w:tcBorders>
          </w:tcPr>
          <w:p w14:paraId="5AD9B5C4"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4</w:t>
            </w:r>
          </w:p>
        </w:tc>
        <w:tc>
          <w:tcPr>
            <w:tcW w:w="572" w:type="pct"/>
            <w:tcBorders>
              <w:left w:val="nil"/>
              <w:right w:val="nil"/>
            </w:tcBorders>
          </w:tcPr>
          <w:p w14:paraId="6D1F18FC"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2,50</w:t>
            </w:r>
          </w:p>
        </w:tc>
        <w:tc>
          <w:tcPr>
            <w:tcW w:w="810" w:type="pct"/>
            <w:tcBorders>
              <w:left w:val="nil"/>
              <w:bottom w:val="nil"/>
              <w:right w:val="nil"/>
            </w:tcBorders>
          </w:tcPr>
          <w:p w14:paraId="5D0E7441"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1,91</w:t>
            </w:r>
          </w:p>
        </w:tc>
        <w:tc>
          <w:tcPr>
            <w:tcW w:w="603" w:type="pct"/>
            <w:vMerge/>
            <w:tcBorders>
              <w:left w:val="nil"/>
              <w:right w:val="nil"/>
            </w:tcBorders>
          </w:tcPr>
          <w:p w14:paraId="0E8ED36F"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c>
          <w:tcPr>
            <w:tcW w:w="620" w:type="pct"/>
            <w:vMerge/>
            <w:tcBorders>
              <w:left w:val="nil"/>
              <w:bottom w:val="nil"/>
              <w:right w:val="nil"/>
            </w:tcBorders>
          </w:tcPr>
          <w:p w14:paraId="1851F96E"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r>
      <w:tr w:rsidR="0031131D" w:rsidRPr="00F21581" w14:paraId="0A2C8B62" w14:textId="77777777" w:rsidTr="00A24B31">
        <w:tc>
          <w:tcPr>
            <w:tcW w:w="772" w:type="pct"/>
            <w:vMerge/>
            <w:tcBorders>
              <w:left w:val="nil"/>
              <w:right w:val="nil"/>
            </w:tcBorders>
          </w:tcPr>
          <w:p w14:paraId="3169C5C1" w14:textId="77777777" w:rsidR="0031131D" w:rsidRPr="00F21581" w:rsidRDefault="0031131D" w:rsidP="00F21581">
            <w:pPr>
              <w:jc w:val="center"/>
              <w:rPr>
                <w:rFonts w:ascii="Times New Roman" w:hAnsi="Times New Roman" w:cs="Times New Roman"/>
                <w:color w:val="000000" w:themeColor="text1"/>
                <w:sz w:val="20"/>
                <w:szCs w:val="20"/>
              </w:rPr>
            </w:pPr>
          </w:p>
        </w:tc>
        <w:tc>
          <w:tcPr>
            <w:tcW w:w="1050" w:type="pct"/>
          </w:tcPr>
          <w:p w14:paraId="41D43A7B"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Lisans/Lisansüstü</w:t>
            </w:r>
          </w:p>
        </w:tc>
        <w:tc>
          <w:tcPr>
            <w:tcW w:w="573" w:type="pct"/>
            <w:tcBorders>
              <w:left w:val="nil"/>
              <w:right w:val="nil"/>
            </w:tcBorders>
          </w:tcPr>
          <w:p w14:paraId="05D45176"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21</w:t>
            </w:r>
          </w:p>
        </w:tc>
        <w:tc>
          <w:tcPr>
            <w:tcW w:w="572" w:type="pct"/>
          </w:tcPr>
          <w:p w14:paraId="3D45C800"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2,09</w:t>
            </w:r>
          </w:p>
        </w:tc>
        <w:tc>
          <w:tcPr>
            <w:tcW w:w="810" w:type="pct"/>
            <w:tcBorders>
              <w:left w:val="nil"/>
              <w:right w:val="nil"/>
            </w:tcBorders>
          </w:tcPr>
          <w:p w14:paraId="39168151" w14:textId="77777777" w:rsidR="0031131D" w:rsidRPr="00F21581" w:rsidRDefault="0031131D" w:rsidP="00F21581">
            <w:pPr>
              <w:ind w:left="60" w:right="60"/>
              <w:jc w:val="center"/>
              <w:rPr>
                <w:rFonts w:ascii="Times New Roman" w:hAnsi="Times New Roman" w:cs="Times New Roman"/>
                <w:color w:val="000000" w:themeColor="text1"/>
                <w:sz w:val="20"/>
                <w:szCs w:val="20"/>
              </w:rPr>
            </w:pPr>
            <w:r w:rsidRPr="00F21581">
              <w:rPr>
                <w:rFonts w:ascii="Times New Roman" w:hAnsi="Times New Roman" w:cs="Times New Roman"/>
                <w:color w:val="000000" w:themeColor="text1"/>
                <w:sz w:val="20"/>
                <w:szCs w:val="20"/>
              </w:rPr>
              <w:t>1,22</w:t>
            </w:r>
          </w:p>
        </w:tc>
        <w:tc>
          <w:tcPr>
            <w:tcW w:w="603" w:type="pct"/>
            <w:vMerge/>
          </w:tcPr>
          <w:p w14:paraId="2F6BC7AF"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c>
          <w:tcPr>
            <w:tcW w:w="620" w:type="pct"/>
            <w:vMerge/>
            <w:tcBorders>
              <w:left w:val="nil"/>
              <w:right w:val="nil"/>
            </w:tcBorders>
          </w:tcPr>
          <w:p w14:paraId="54D85472" w14:textId="77777777" w:rsidR="0031131D" w:rsidRPr="00F21581" w:rsidRDefault="0031131D" w:rsidP="00F21581">
            <w:pPr>
              <w:ind w:left="60" w:right="60"/>
              <w:jc w:val="center"/>
              <w:rPr>
                <w:rFonts w:ascii="Times New Roman" w:hAnsi="Times New Roman" w:cs="Times New Roman"/>
                <w:color w:val="000000" w:themeColor="text1"/>
                <w:sz w:val="20"/>
                <w:szCs w:val="20"/>
              </w:rPr>
            </w:pPr>
          </w:p>
        </w:tc>
      </w:tr>
    </w:tbl>
    <w:p w14:paraId="69EBECA4" w14:textId="77777777" w:rsidR="0031131D" w:rsidRPr="00DE4D9E" w:rsidRDefault="0031131D" w:rsidP="0031131D">
      <w:pPr>
        <w:spacing w:line="360" w:lineRule="auto"/>
        <w:jc w:val="both"/>
        <w:rPr>
          <w:rFonts w:ascii="Times New Roman" w:hAnsi="Times New Roman" w:cs="Times New Roman"/>
          <w:color w:val="000000" w:themeColor="text1"/>
        </w:rPr>
      </w:pPr>
    </w:p>
    <w:p w14:paraId="1A5BA36F" w14:textId="3607F283"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 xml:space="preserve">Tablo </w:t>
      </w:r>
      <w:r w:rsidR="00F21581" w:rsidRPr="00F21581">
        <w:rPr>
          <w:rFonts w:ascii="Times New Roman" w:hAnsi="Times New Roman" w:cs="Times New Roman"/>
          <w:color w:val="000000" w:themeColor="text1"/>
          <w:sz w:val="22"/>
          <w:szCs w:val="22"/>
        </w:rPr>
        <w:t>1</w:t>
      </w:r>
      <w:r w:rsidRPr="00F21581">
        <w:rPr>
          <w:rFonts w:ascii="Times New Roman" w:hAnsi="Times New Roman" w:cs="Times New Roman"/>
          <w:color w:val="000000" w:themeColor="text1"/>
          <w:sz w:val="22"/>
          <w:szCs w:val="22"/>
        </w:rPr>
        <w:t>, Müdahale 1 uygulanan katılımcıların belirli bir davranış durumuna göre ölçüm skorlarını karşılaştırmaktadır.</w:t>
      </w:r>
    </w:p>
    <w:p w14:paraId="48999079" w14:textId="77777777"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lastRenderedPageBreak/>
        <w:t>Öntest sonuçlarına göre, ilgili davranışı gerçekleştiren katılımcıların ortalama skoru 2.52 iken, gerçekleştirmeyenlerin skoru 3.30 olarak belirlenmiştir. Bu fark istatistiksel olarak anlamlıdır (p=.018).</w:t>
      </w:r>
    </w:p>
    <w:p w14:paraId="46483FCF" w14:textId="77777777"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Sontest sonuçlarına göre ise, ilgili davranışı gerçekleştiren katılımcıların ortalama skoru 1.80’e düşmüş, gerçekleştirmeyenlerin skoru ise 2.90 olarak kalmıştır. Bu fark da istatistiksel olarak anlamlı bulunmuştur (p=.016).</w:t>
      </w:r>
    </w:p>
    <w:p w14:paraId="5CC4B779" w14:textId="77777777" w:rsidR="0031131D" w:rsidRPr="00F21581" w:rsidRDefault="0031131D" w:rsidP="00F21581">
      <w:pPr>
        <w:spacing w:line="360" w:lineRule="auto"/>
        <w:ind w:firstLine="567"/>
        <w:jc w:val="both"/>
        <w:rPr>
          <w:rFonts w:ascii="Times New Roman" w:hAnsi="Times New Roman" w:cs="Times New Roman"/>
          <w:color w:val="000000" w:themeColor="text1"/>
          <w:sz w:val="22"/>
          <w:szCs w:val="22"/>
        </w:rPr>
      </w:pPr>
      <w:r w:rsidRPr="00F21581">
        <w:rPr>
          <w:rFonts w:ascii="Times New Roman" w:hAnsi="Times New Roman" w:cs="Times New Roman"/>
          <w:color w:val="000000" w:themeColor="text1"/>
          <w:sz w:val="22"/>
          <w:szCs w:val="22"/>
        </w:rPr>
        <w:t>Bu bulgular, ilgili davranışın müdahale ile birlikte ölçülen durum üzerinde daha etkili bir iyileşme sağladığını göstermektedir. Bu durum, sürece eşlik eden faktörlerin önemini ortaya koymaktadır.</w:t>
      </w:r>
    </w:p>
    <w:p w14:paraId="048D5FE2" w14:textId="77777777" w:rsidR="0031131D" w:rsidRPr="00DE4D9E" w:rsidRDefault="0031131D" w:rsidP="0031131D">
      <w:pPr>
        <w:spacing w:before="120" w:after="120" w:line="360" w:lineRule="auto"/>
        <w:ind w:firstLine="567"/>
        <w:jc w:val="both"/>
        <w:rPr>
          <w:rFonts w:ascii="Times New Roman" w:hAnsi="Times New Roman" w:cs="Times New Roman"/>
          <w:color w:val="000000" w:themeColor="text1"/>
        </w:rPr>
      </w:pPr>
    </w:p>
    <w:p w14:paraId="72D39B34" w14:textId="77777777" w:rsidR="00A20822" w:rsidRPr="0031131D" w:rsidRDefault="00A20822" w:rsidP="0031131D"/>
    <w:sectPr w:rsidR="00A20822" w:rsidRPr="003113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7C48" w14:textId="77777777" w:rsidR="00BF7E23" w:rsidRDefault="00BF7E23" w:rsidP="0031131D">
      <w:r>
        <w:separator/>
      </w:r>
    </w:p>
  </w:endnote>
  <w:endnote w:type="continuationSeparator" w:id="0">
    <w:p w14:paraId="3E1EB139" w14:textId="77777777" w:rsidR="00BF7E23" w:rsidRDefault="00BF7E23" w:rsidP="003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8045" w14:textId="77777777" w:rsidR="0031131D" w:rsidRDefault="003113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3610" w14:textId="77777777" w:rsidR="0031131D" w:rsidRDefault="0031131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E297" w14:textId="77777777" w:rsidR="0031131D" w:rsidRDefault="003113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9EA0" w14:textId="77777777" w:rsidR="00BF7E23" w:rsidRDefault="00BF7E23" w:rsidP="0031131D">
      <w:r>
        <w:separator/>
      </w:r>
    </w:p>
  </w:footnote>
  <w:footnote w:type="continuationSeparator" w:id="0">
    <w:p w14:paraId="163A154A" w14:textId="77777777" w:rsidR="00BF7E23" w:rsidRDefault="00BF7E23" w:rsidP="0031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F8CA" w14:textId="3A868E13" w:rsidR="0031131D" w:rsidRDefault="00BF7E23">
    <w:pPr>
      <w:pStyle w:val="stBilgi"/>
    </w:pPr>
    <w:r>
      <w:rPr>
        <w:noProof/>
      </w:rPr>
      <w:pict w14:anchorId="58945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89059" o:spid="_x0000_s1027" type="#_x0000_t136" alt="" style="position:absolute;margin-left:0;margin-top:0;width:453.5pt;height:126.9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3D84" w14:textId="3D2537F3" w:rsidR="0031131D" w:rsidRDefault="00BF7E23">
    <w:pPr>
      <w:pStyle w:val="stBilgi"/>
    </w:pPr>
    <w:r>
      <w:rPr>
        <w:noProof/>
      </w:rPr>
      <w:pict w14:anchorId="0E0D8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89060" o:spid="_x0000_s1026" type="#_x0000_t136" alt="" style="position:absolute;margin-left:0;margin-top:0;width:453.5pt;height:126.9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4B4" w14:textId="03758AA9" w:rsidR="0031131D" w:rsidRDefault="00BF7E23">
    <w:pPr>
      <w:pStyle w:val="stBilgi"/>
    </w:pPr>
    <w:r>
      <w:rPr>
        <w:noProof/>
      </w:rPr>
      <w:pict w14:anchorId="2906A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89058" o:spid="_x0000_s1025" type="#_x0000_t136" alt="" style="position:absolute;margin-left:0;margin-top:0;width:453.5pt;height:126.9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90403"/>
    <w:multiLevelType w:val="multilevel"/>
    <w:tmpl w:val="1E5A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00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1D"/>
    <w:rsid w:val="00157C67"/>
    <w:rsid w:val="001E5010"/>
    <w:rsid w:val="0021290D"/>
    <w:rsid w:val="0031131D"/>
    <w:rsid w:val="003C0916"/>
    <w:rsid w:val="00493DD1"/>
    <w:rsid w:val="0056254B"/>
    <w:rsid w:val="00565A92"/>
    <w:rsid w:val="0069726B"/>
    <w:rsid w:val="007D0CB8"/>
    <w:rsid w:val="00853CA6"/>
    <w:rsid w:val="00A20822"/>
    <w:rsid w:val="00A62A10"/>
    <w:rsid w:val="00A67D78"/>
    <w:rsid w:val="00BF7E23"/>
    <w:rsid w:val="00C158EA"/>
    <w:rsid w:val="00D04A31"/>
    <w:rsid w:val="00D579BF"/>
    <w:rsid w:val="00DF1B04"/>
    <w:rsid w:val="00F21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2D9A"/>
  <w15:chartTrackingRefBased/>
  <w15:docId w15:val="{F5FD0696-DAFE-D048-9A2A-BC7245E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1D"/>
  </w:style>
  <w:style w:type="paragraph" w:styleId="Balk1">
    <w:name w:val="heading 1"/>
    <w:basedOn w:val="Normal"/>
    <w:next w:val="Normal"/>
    <w:link w:val="Balk1Char"/>
    <w:uiPriority w:val="9"/>
    <w:qFormat/>
    <w:rsid w:val="00311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11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1131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1131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1131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1131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131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131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131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131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1131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1131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1131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1131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113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13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13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131D"/>
    <w:rPr>
      <w:rFonts w:eastAsiaTheme="majorEastAsia" w:cstheme="majorBidi"/>
      <w:color w:val="272727" w:themeColor="text1" w:themeTint="D8"/>
    </w:rPr>
  </w:style>
  <w:style w:type="paragraph" w:styleId="KonuBal">
    <w:name w:val="Title"/>
    <w:basedOn w:val="Normal"/>
    <w:next w:val="Normal"/>
    <w:link w:val="KonuBalChar"/>
    <w:uiPriority w:val="10"/>
    <w:qFormat/>
    <w:rsid w:val="0031131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13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131D"/>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13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131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31131D"/>
    <w:rPr>
      <w:i/>
      <w:iCs/>
      <w:color w:val="404040" w:themeColor="text1" w:themeTint="BF"/>
    </w:rPr>
  </w:style>
  <w:style w:type="paragraph" w:styleId="ListeParagraf">
    <w:name w:val="List Paragraph"/>
    <w:basedOn w:val="Normal"/>
    <w:uiPriority w:val="34"/>
    <w:qFormat/>
    <w:rsid w:val="0031131D"/>
    <w:pPr>
      <w:ind w:left="720"/>
      <w:contextualSpacing/>
    </w:pPr>
  </w:style>
  <w:style w:type="character" w:styleId="GlVurgulama">
    <w:name w:val="Intense Emphasis"/>
    <w:basedOn w:val="VarsaylanParagrafYazTipi"/>
    <w:uiPriority w:val="21"/>
    <w:qFormat/>
    <w:rsid w:val="0031131D"/>
    <w:rPr>
      <w:i/>
      <w:iCs/>
      <w:color w:val="2F5496" w:themeColor="accent1" w:themeShade="BF"/>
    </w:rPr>
  </w:style>
  <w:style w:type="paragraph" w:styleId="GlAlnt">
    <w:name w:val="Intense Quote"/>
    <w:basedOn w:val="Normal"/>
    <w:next w:val="Normal"/>
    <w:link w:val="GlAlntChar"/>
    <w:uiPriority w:val="30"/>
    <w:qFormat/>
    <w:rsid w:val="00311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1131D"/>
    <w:rPr>
      <w:i/>
      <w:iCs/>
      <w:color w:val="2F5496" w:themeColor="accent1" w:themeShade="BF"/>
    </w:rPr>
  </w:style>
  <w:style w:type="character" w:styleId="GlBavuru">
    <w:name w:val="Intense Reference"/>
    <w:basedOn w:val="VarsaylanParagrafYazTipi"/>
    <w:uiPriority w:val="32"/>
    <w:qFormat/>
    <w:rsid w:val="0031131D"/>
    <w:rPr>
      <w:b/>
      <w:bCs/>
      <w:smallCaps/>
      <w:color w:val="2F5496" w:themeColor="accent1" w:themeShade="BF"/>
      <w:spacing w:val="5"/>
    </w:rPr>
  </w:style>
  <w:style w:type="paragraph" w:styleId="ResimYazs">
    <w:name w:val="caption"/>
    <w:basedOn w:val="Normal"/>
    <w:next w:val="Normal"/>
    <w:uiPriority w:val="35"/>
    <w:unhideWhenUsed/>
    <w:qFormat/>
    <w:rsid w:val="0031131D"/>
    <w:pPr>
      <w:spacing w:after="200"/>
    </w:pPr>
    <w:rPr>
      <w:i/>
      <w:iCs/>
      <w:color w:val="44546A" w:themeColor="text2"/>
      <w:sz w:val="18"/>
      <w:szCs w:val="18"/>
    </w:rPr>
  </w:style>
  <w:style w:type="paragraph" w:styleId="stBilgi">
    <w:name w:val="header"/>
    <w:basedOn w:val="Normal"/>
    <w:link w:val="stBilgiChar"/>
    <w:uiPriority w:val="99"/>
    <w:unhideWhenUsed/>
    <w:rsid w:val="0031131D"/>
    <w:pPr>
      <w:tabs>
        <w:tab w:val="center" w:pos="4536"/>
        <w:tab w:val="right" w:pos="9072"/>
      </w:tabs>
    </w:pPr>
  </w:style>
  <w:style w:type="character" w:customStyle="1" w:styleId="stBilgiChar">
    <w:name w:val="Üst Bilgi Char"/>
    <w:basedOn w:val="VarsaylanParagrafYazTipi"/>
    <w:link w:val="stBilgi"/>
    <w:uiPriority w:val="99"/>
    <w:rsid w:val="0031131D"/>
  </w:style>
  <w:style w:type="paragraph" w:styleId="AltBilgi">
    <w:name w:val="footer"/>
    <w:basedOn w:val="Normal"/>
    <w:link w:val="AltBilgiChar"/>
    <w:uiPriority w:val="99"/>
    <w:unhideWhenUsed/>
    <w:rsid w:val="0031131D"/>
    <w:pPr>
      <w:tabs>
        <w:tab w:val="center" w:pos="4536"/>
        <w:tab w:val="right" w:pos="9072"/>
      </w:tabs>
    </w:pPr>
  </w:style>
  <w:style w:type="character" w:customStyle="1" w:styleId="AltBilgiChar">
    <w:name w:val="Alt Bilgi Char"/>
    <w:basedOn w:val="VarsaylanParagrafYazTipi"/>
    <w:link w:val="AltBilgi"/>
    <w:uiPriority w:val="99"/>
    <w:rsid w:val="0031131D"/>
  </w:style>
  <w:style w:type="character" w:styleId="Gl">
    <w:name w:val="Strong"/>
    <w:basedOn w:val="VarsaylanParagrafYazTipi"/>
    <w:uiPriority w:val="22"/>
    <w:qFormat/>
    <w:rsid w:val="00F21581"/>
    <w:rPr>
      <w:b/>
      <w:bCs/>
    </w:rPr>
  </w:style>
  <w:style w:type="paragraph" w:styleId="NormalWeb">
    <w:name w:val="Normal (Web)"/>
    <w:basedOn w:val="Normal"/>
    <w:uiPriority w:val="99"/>
    <w:semiHidden/>
    <w:unhideWhenUsed/>
    <w:rsid w:val="00F21581"/>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799</Words>
  <Characters>5531</Characters>
  <Application>Microsoft Office Word</Application>
  <DocSecurity>0</DocSecurity>
  <Lines>158</Lines>
  <Paragraphs>74</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6</cp:revision>
  <dcterms:created xsi:type="dcterms:W3CDTF">2026-03-25T12:50:00Z</dcterms:created>
  <dcterms:modified xsi:type="dcterms:W3CDTF">2026-03-26T06:55:00Z</dcterms:modified>
</cp:coreProperties>
</file>